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autoSpaceDE/>
        <w:autoSpaceDN/>
        <w:bidi w:val="0"/>
        <w:adjustRightInd/>
        <w:snapToGrid/>
        <w:spacing w:line="1200" w:lineRule="exact"/>
        <w:textAlignment w:val="auto"/>
        <w:outlineLvl w:val="9"/>
        <w:rPr>
          <w:rFonts w:hint="default" w:ascii="Times New Roman" w:hAnsi="Times New Roman" w:eastAsia="仿宋_GB2312" w:cs="Times New Roman"/>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w w:val="100"/>
          <w:kern w:val="0"/>
          <w:sz w:val="44"/>
          <w:szCs w:val="44"/>
          <w:highlight w:val="none"/>
          <w:lang w:val="en-US" w:eastAsia="zh-CN"/>
        </w:rPr>
      </w:pPr>
      <w:r>
        <w:rPr>
          <w:rFonts w:hint="default" w:ascii="Times New Roman" w:hAnsi="Times New Roman" w:eastAsia="方正小标宋简体" w:cs="Times New Roman"/>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w w:val="100"/>
          <w:kern w:val="0"/>
          <w:sz w:val="44"/>
          <w:szCs w:val="44"/>
          <w:highlight w:val="none"/>
          <w:lang w:val="en-US" w:eastAsia="zh-CN"/>
        </w:rPr>
      </w:pPr>
      <w:r>
        <w:rPr>
          <w:rFonts w:hint="default" w:ascii="Times New Roman" w:hAnsi="Times New Roman" w:eastAsia="方正小标宋简体" w:cs="Times New Roman"/>
          <w:b w:val="0"/>
          <w:bCs w:val="0"/>
          <w:color w:val="auto"/>
          <w:w w:val="100"/>
          <w:kern w:val="0"/>
          <w:sz w:val="44"/>
          <w:szCs w:val="44"/>
          <w:highlight w:val="none"/>
          <w:lang w:val="en-US" w:eastAsia="zh-CN"/>
        </w:rPr>
        <w:t>网上挂牌出让公告</w:t>
      </w:r>
    </w:p>
    <w:p>
      <w:pPr>
        <w:keepNext w:val="0"/>
        <w:keepLines w:val="0"/>
        <w:pageBreakBefore w:val="0"/>
        <w:tabs>
          <w:tab w:val="left" w:pos="11340"/>
        </w:tabs>
        <w:kinsoku/>
        <w:wordWrap/>
        <w:overflowPunct/>
        <w:topLinePunct w:val="0"/>
        <w:bidi w:val="0"/>
        <w:spacing w:line="520" w:lineRule="exact"/>
        <w:ind w:left="4018" w:hanging="2880" w:hangingChars="900"/>
        <w:jc w:val="center"/>
        <w:textAlignment w:val="auto"/>
        <w:rPr>
          <w:rFonts w:hint="default" w:ascii="Times New Roman" w:hAnsi="Times New Roman" w:eastAsia="仿宋_GB2312" w:cs="Times New Roman"/>
          <w:b w:val="0"/>
          <w:bCs w:val="0"/>
          <w:color w:val="FF0000"/>
          <w:sz w:val="32"/>
          <w:szCs w:val="32"/>
          <w:highlight w:val="none"/>
        </w:rPr>
      </w:pPr>
      <w:r>
        <w:rPr>
          <w:rFonts w:hint="default" w:ascii="Times New Roman" w:hAnsi="Times New Roman" w:eastAsia="仿宋_GB2312" w:cs="Times New Roman"/>
          <w:b w:val="0"/>
          <w:bCs w:val="0"/>
          <w:color w:val="auto"/>
          <w:sz w:val="32"/>
          <w:szCs w:val="32"/>
          <w:highlight w:val="none"/>
        </w:rPr>
        <w:t>惠</w:t>
      </w:r>
      <w:r>
        <w:rPr>
          <w:rFonts w:hint="default" w:ascii="Times New Roman" w:hAnsi="Times New Roman" w:eastAsia="仿宋_GB2312" w:cs="Times New Roman"/>
          <w:b w:val="0"/>
          <w:bCs w:val="0"/>
          <w:color w:val="auto"/>
          <w:sz w:val="32"/>
          <w:szCs w:val="32"/>
          <w:highlight w:val="none"/>
          <w:lang w:val="en-US" w:eastAsia="zh-CN"/>
        </w:rPr>
        <w:t>仲土挂告</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val="en-US" w:eastAsia="zh-CN"/>
        </w:rPr>
        <w:t>027</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根据《招标拍卖挂牌出让国有建设用地使用权规定》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国土资源部令第39号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和《广东省土地使用权交易市场管理规定》</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广东省人民政府令第79号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的规定，经批准，</w:t>
      </w:r>
      <w:r>
        <w:rPr>
          <w:rFonts w:hint="default" w:ascii="Times New Roman" w:hAnsi="Times New Roman" w:eastAsia="仿宋_GB2312" w:cs="Times New Roman"/>
          <w:b w:val="0"/>
          <w:bCs w:val="0"/>
          <w:color w:val="auto"/>
          <w:sz w:val="32"/>
          <w:szCs w:val="32"/>
          <w:highlight w:val="none"/>
          <w:lang w:eastAsia="zh-CN"/>
        </w:rPr>
        <w:t>我</w:t>
      </w:r>
      <w:r>
        <w:rPr>
          <w:rFonts w:hint="default" w:ascii="Times New Roman" w:hAnsi="Times New Roman" w:eastAsia="仿宋_GB2312" w:cs="Times New Roman"/>
          <w:b w:val="0"/>
          <w:bCs w:val="0"/>
          <w:color w:val="auto"/>
          <w:sz w:val="32"/>
          <w:szCs w:val="32"/>
          <w:highlight w:val="none"/>
        </w:rPr>
        <w:t>局决定以网上挂牌方式公开出让下列一宗国有建设用地使用权。现将有关事项公告如下：</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rPr>
        <w:t>网上挂牌出让地块基本情况及规划指标要求（见附表）</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rPr>
        <w:t>挂牌起始价及</w:t>
      </w:r>
      <w:r>
        <w:rPr>
          <w:rFonts w:hint="default" w:ascii="Times New Roman" w:hAnsi="Times New Roman" w:eastAsia="仿宋_GB2312" w:cs="Times New Roman"/>
          <w:b w:val="0"/>
          <w:bCs w:val="0"/>
          <w:color w:val="auto"/>
          <w:sz w:val="32"/>
          <w:szCs w:val="32"/>
          <w:highlight w:val="none"/>
          <w:lang w:val="en-US" w:eastAsia="zh-CN"/>
        </w:rPr>
        <w:t>增</w:t>
      </w:r>
      <w:r>
        <w:rPr>
          <w:rFonts w:hint="default" w:ascii="Times New Roman" w:hAnsi="Times New Roman" w:eastAsia="仿宋_GB2312" w:cs="Times New Roman"/>
          <w:b w:val="0"/>
          <w:bCs w:val="0"/>
          <w:color w:val="auto"/>
          <w:sz w:val="32"/>
          <w:szCs w:val="32"/>
          <w:highlight w:val="none"/>
        </w:rPr>
        <w:t>价幅度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挂牌起始价为人</w:t>
      </w:r>
      <w:r>
        <w:rPr>
          <w:rFonts w:hint="default" w:ascii="Times New Roman" w:hAnsi="Times New Roman" w:eastAsia="仿宋_GB2312" w:cs="Times New Roman"/>
          <w:b w:val="0"/>
          <w:bCs w:val="0"/>
          <w:color w:val="auto"/>
          <w:sz w:val="32"/>
          <w:szCs w:val="32"/>
          <w:highlight w:val="none"/>
          <w:lang w:val="en-US" w:eastAsia="zh-CN"/>
        </w:rPr>
        <w:t>民币</w:t>
      </w:r>
      <w:r>
        <w:rPr>
          <w:rFonts w:hint="eastAsia" w:ascii="仿宋_GB2312" w:hAnsi="仿宋_GB2312" w:cs="仿宋_GB2312"/>
          <w:bCs/>
          <w:kern w:val="0"/>
          <w:sz w:val="32"/>
          <w:szCs w:val="32"/>
          <w:highlight w:val="none"/>
          <w:lang w:val="en-US" w:eastAsia="zh-CN" w:bidi="ar-SA"/>
        </w:rPr>
        <w:t>44114</w:t>
      </w:r>
      <w:r>
        <w:rPr>
          <w:rFonts w:hint="default" w:ascii="Times New Roman" w:hAnsi="Times New Roman" w:eastAsia="仿宋_GB2312" w:cs="Times New Roman"/>
          <w:b w:val="0"/>
          <w:bCs w:val="0"/>
          <w:color w:val="auto"/>
          <w:sz w:val="32"/>
          <w:szCs w:val="32"/>
          <w:highlight w:val="none"/>
          <w:lang w:val="en-US" w:eastAsia="zh-CN"/>
        </w:rPr>
        <w:t>万元,</w:t>
      </w:r>
      <w:r>
        <w:rPr>
          <w:rFonts w:hint="default" w:ascii="Times New Roman" w:hAnsi="Times New Roman" w:eastAsia="仿宋_GB2312" w:cs="Times New Roman"/>
          <w:b w:val="0"/>
          <w:bCs w:val="0"/>
          <w:color w:val="auto"/>
          <w:sz w:val="32"/>
          <w:szCs w:val="32"/>
          <w:highlight w:val="none"/>
        </w:rPr>
        <w:t>每次报价</w:t>
      </w:r>
      <w:r>
        <w:rPr>
          <w:rFonts w:hint="default" w:ascii="Times New Roman" w:hAnsi="Times New Roman" w:eastAsia="仿宋_GB2312" w:cs="Times New Roman"/>
          <w:b w:val="0"/>
          <w:bCs w:val="0"/>
          <w:color w:val="auto"/>
          <w:sz w:val="32"/>
          <w:szCs w:val="32"/>
          <w:highlight w:val="none"/>
          <w:lang w:val="en-US" w:eastAsia="zh-CN"/>
        </w:rPr>
        <w:t>增</w:t>
      </w:r>
      <w:r>
        <w:rPr>
          <w:rFonts w:hint="default" w:ascii="Times New Roman" w:hAnsi="Times New Roman" w:eastAsia="仿宋_GB2312" w:cs="Times New Roman"/>
          <w:b w:val="0"/>
          <w:bCs w:val="0"/>
          <w:color w:val="auto"/>
          <w:sz w:val="32"/>
          <w:szCs w:val="32"/>
          <w:highlight w:val="none"/>
        </w:rPr>
        <w:t>价幅度为人民币</w:t>
      </w:r>
      <w:r>
        <w:rPr>
          <w:rFonts w:hint="eastAsia" w:eastAsia="仿宋_GB2312" w:cs="Times New Roman"/>
          <w:b w:val="0"/>
          <w:bCs w:val="0"/>
          <w:color w:val="auto"/>
          <w:sz w:val="32"/>
          <w:szCs w:val="32"/>
          <w:highlight w:val="none"/>
          <w:lang w:val="en-US" w:eastAsia="zh-CN"/>
        </w:rPr>
        <w:t>600</w:t>
      </w:r>
      <w:r>
        <w:rPr>
          <w:rFonts w:hint="default" w:ascii="Times New Roman" w:hAnsi="Times New Roman" w:eastAsia="仿宋_GB2312" w:cs="Times New Roman"/>
          <w:b w:val="0"/>
          <w:bCs w:val="0"/>
          <w:color w:val="auto"/>
          <w:sz w:val="32"/>
          <w:szCs w:val="32"/>
          <w:highlight w:val="none"/>
        </w:rPr>
        <w:t>万元的整数倍。</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三、时间安排</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（一）公告时间：</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rPr>
        <w:t>日至</w:t>
      </w:r>
      <w:r>
        <w:rPr>
          <w:rFonts w:hint="default" w:ascii="Times New Roman" w:hAnsi="Times New Roman" w:eastAsia="仿宋_GB2312" w:cs="Times New Roman"/>
          <w:b w:val="0"/>
          <w:bCs w:val="0"/>
          <w:color w:val="auto"/>
          <w:sz w:val="32"/>
          <w:szCs w:val="32"/>
          <w:highlight w:val="none"/>
          <w:lang w:val="en-US" w:eastAsia="zh-CN"/>
        </w:rPr>
        <w:t>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年</w:t>
      </w:r>
      <w:r>
        <w:rPr>
          <w:rFonts w:hint="eastAsia"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月</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日</w:t>
      </w:r>
      <w:r>
        <w:rPr>
          <w:rFonts w:hint="default" w:ascii="Times New Roman" w:hAnsi="Times New Roman" w:eastAsia="仿宋_GB2312" w:cs="Times New Roman"/>
          <w:b w:val="0"/>
          <w:bCs w:val="0"/>
          <w:color w:val="auto"/>
          <w:sz w:val="32"/>
          <w:szCs w:val="32"/>
          <w:highlight w:val="none"/>
          <w:lang w:eastAsia="zh-CN"/>
        </w:rPr>
        <w:t>。</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（二）网上挂牌竞买时间：</w:t>
      </w:r>
      <w:r>
        <w:rPr>
          <w:rFonts w:hint="default" w:ascii="Times New Roman" w:hAnsi="Times New Roman" w:eastAsia="仿宋_GB2312" w:cs="Times New Roman"/>
          <w:b w:val="0"/>
          <w:bCs w:val="0"/>
          <w:color w:val="auto"/>
          <w:sz w:val="32"/>
          <w:szCs w:val="32"/>
          <w:highlight w:val="none"/>
          <w:lang w:val="en-US" w:eastAsia="zh-CN"/>
        </w:rPr>
        <w:t>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年1月</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日9</w:t>
      </w:r>
      <w:r>
        <w:rPr>
          <w:rFonts w:hint="default" w:ascii="Times New Roman" w:hAnsi="Times New Roman" w:eastAsia="仿宋_GB2312" w:cs="Times New Roman"/>
          <w:b w:val="0"/>
          <w:bCs w:val="0"/>
          <w:color w:val="auto"/>
          <w:sz w:val="32"/>
          <w:szCs w:val="32"/>
          <w:highlight w:val="none"/>
        </w:rPr>
        <w:t>时至202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17</w:t>
      </w:r>
      <w:r>
        <w:rPr>
          <w:rFonts w:hint="default" w:ascii="Times New Roman" w:hAnsi="Times New Roman" w:eastAsia="仿宋_GB2312" w:cs="Times New Roman"/>
          <w:b w:val="0"/>
          <w:bCs w:val="0"/>
          <w:color w:val="auto"/>
          <w:sz w:val="32"/>
          <w:szCs w:val="32"/>
          <w:highlight w:val="none"/>
        </w:rPr>
        <w:t>日10时。</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竞买保证金到账截止时间为：</w:t>
      </w:r>
      <w:r>
        <w:rPr>
          <w:rFonts w:hint="default" w:ascii="Times New Roman" w:hAnsi="Times New Roman" w:eastAsia="仿宋_GB2312" w:cs="Times New Roman"/>
          <w:b w:val="0"/>
          <w:bCs w:val="0"/>
          <w:color w:val="auto"/>
          <w:sz w:val="32"/>
          <w:szCs w:val="32"/>
          <w:highlight w:val="none"/>
          <w:lang w:val="en-US" w:eastAsia="zh-CN"/>
        </w:rPr>
        <w:t>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17</w:t>
      </w:r>
      <w:r>
        <w:rPr>
          <w:rFonts w:hint="default" w:ascii="Times New Roman" w:hAnsi="Times New Roman" w:eastAsia="仿宋_GB2312" w:cs="Times New Roman"/>
          <w:b w:val="0"/>
          <w:bCs w:val="0"/>
          <w:color w:val="auto"/>
          <w:sz w:val="32"/>
          <w:szCs w:val="32"/>
          <w:highlight w:val="none"/>
        </w:rPr>
        <w:t>日</w:t>
      </w:r>
      <w:r>
        <w:rPr>
          <w:rFonts w:hint="default"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四、竞买资格及要求</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中华人民共和国境内外的法人、自然人和其他组织（除法律法规另有规定外）具备本条规定条件的，均可申请参加竞买。申请人可以单独申请，也可以联合申请，竞买申请人必须同时具备下列条件：</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（一）缴交竞买保证金</w:t>
      </w:r>
      <w:r>
        <w:rPr>
          <w:rFonts w:hint="eastAsia" w:ascii="仿宋_GB2312" w:hAnsi="仿宋_GB2312" w:cs="仿宋_GB2312"/>
          <w:bCs/>
          <w:kern w:val="0"/>
          <w:sz w:val="32"/>
          <w:szCs w:val="32"/>
          <w:highlight w:val="none"/>
          <w:lang w:val="en-US" w:eastAsia="zh-CN" w:bidi="ar-SA"/>
        </w:rPr>
        <w:t>13235</w:t>
      </w:r>
      <w:r>
        <w:rPr>
          <w:rFonts w:hint="default" w:ascii="Times New Roman" w:hAnsi="Times New Roman" w:eastAsia="仿宋_GB2312" w:cs="Times New Roman"/>
          <w:b w:val="0"/>
          <w:bCs w:val="0"/>
          <w:color w:val="auto"/>
          <w:sz w:val="32"/>
          <w:szCs w:val="32"/>
          <w:highlight w:val="none"/>
          <w:lang w:eastAsia="zh-CN"/>
        </w:rPr>
        <w:t>万元人民币；</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bookmarkStart w:id="0" w:name="bookmark11"/>
      <w:r>
        <w:rPr>
          <w:rFonts w:hint="default" w:ascii="Times New Roman" w:hAnsi="Times New Roman" w:eastAsia="仿宋_GB2312" w:cs="Times New Roman"/>
          <w:color w:val="000000"/>
          <w:spacing w:val="0"/>
          <w:w w:val="100"/>
          <w:position w:val="0"/>
          <w:sz w:val="32"/>
          <w:szCs w:val="32"/>
          <w:highlight w:val="none"/>
        </w:rPr>
        <w:t>（</w:t>
      </w:r>
      <w:bookmarkEnd w:id="0"/>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r>
        <w:rPr>
          <w:rFonts w:hint="eastAsia" w:eastAsia="仿宋_GB2312" w:cs="Times New Roman"/>
          <w:color w:val="000000"/>
          <w:spacing w:val="0"/>
          <w:w w:val="100"/>
          <w:position w:val="0"/>
          <w:sz w:val="32"/>
          <w:szCs w:val="32"/>
          <w:highlight w:val="none"/>
          <w:lang w:eastAsia="zh-CN"/>
        </w:rPr>
        <w:t>；</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竞买申请人须具备房地产开发资质</w:t>
      </w:r>
      <w:r>
        <w:rPr>
          <w:rFonts w:hint="default" w:ascii="Times New Roman" w:hAnsi="Times New Roman" w:eastAsia="仿宋_GB2312" w:cs="Times New Roman"/>
          <w:b w:val="0"/>
          <w:bCs w:val="0"/>
          <w:color w:val="auto"/>
          <w:sz w:val="32"/>
          <w:szCs w:val="32"/>
          <w:highlight w:val="none"/>
          <w:lang w:eastAsia="zh-CN"/>
        </w:rPr>
        <w:t>（或者具备住建部门出具的房地产开发企业资质的核准意见）</w:t>
      </w:r>
      <w:r>
        <w:rPr>
          <w:rFonts w:hint="default" w:ascii="Times New Roman" w:hAnsi="Times New Roman" w:eastAsia="仿宋_GB2312" w:cs="Times New Roman"/>
          <w:b w:val="0"/>
          <w:bCs w:val="0"/>
          <w:color w:val="auto"/>
          <w:sz w:val="32"/>
          <w:szCs w:val="32"/>
          <w:highlight w:val="none"/>
          <w:lang w:val="en-US" w:eastAsia="zh-CN"/>
        </w:rPr>
        <w:t>，且同一企业及控股公司只允许一家企业参与竞买。</w:t>
      </w:r>
    </w:p>
    <w:p>
      <w:pPr>
        <w:pStyle w:val="8"/>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五、需要说明的事项</w:t>
      </w:r>
    </w:p>
    <w:p>
      <w:pPr>
        <w:pStyle w:val="6"/>
        <w:keepNext w:val="0"/>
        <w:keepLines w:val="0"/>
        <w:pageBreakBefore w:val="0"/>
        <w:widowControl w:val="0"/>
        <w:numPr>
          <w:ilvl w:val="0"/>
          <w:numId w:val="0"/>
        </w:numPr>
        <w:kinsoku/>
        <w:wordWrap/>
        <w:overflowPunct/>
        <w:topLinePunct w:val="0"/>
        <w:autoSpaceDE/>
        <w:autoSpaceDN/>
        <w:bidi w:val="0"/>
        <w:spacing w:before="0" w:line="56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（一）地块竞价溢价达到总地价</w:t>
      </w:r>
      <w:r>
        <w:rPr>
          <w:rFonts w:hint="eastAsia" w:ascii="仿宋_GB2312" w:hAnsi="仿宋_GB2312" w:eastAsia="仿宋_GB2312" w:cs="仿宋_GB2312"/>
          <w:bCs/>
          <w:kern w:val="0"/>
          <w:sz w:val="32"/>
          <w:szCs w:val="32"/>
          <w:highlight w:val="none"/>
          <w:lang w:val="en-US" w:eastAsia="zh-CN" w:bidi="ar-SA"/>
        </w:rPr>
        <w:t>50731</w:t>
      </w:r>
      <w:r>
        <w:rPr>
          <w:rFonts w:hint="default" w:ascii="Times New Roman" w:hAnsi="Times New Roman" w:cs="Times New Roman"/>
          <w:b w:val="0"/>
          <w:bCs w:val="0"/>
          <w:color w:val="auto"/>
          <w:sz w:val="32"/>
          <w:szCs w:val="32"/>
          <w:highlight w:val="none"/>
          <w:lang w:val="en-US" w:eastAsia="zh-CN"/>
        </w:rPr>
        <w:t>万元时，转为采用摇号方式确定竞得人；</w:t>
      </w:r>
    </w:p>
    <w:p>
      <w:pPr>
        <w:pStyle w:val="6"/>
        <w:keepNext w:val="0"/>
        <w:keepLines w:val="0"/>
        <w:pageBreakBefore w:val="0"/>
        <w:widowControl w:val="0"/>
        <w:numPr>
          <w:ilvl w:val="0"/>
          <w:numId w:val="0"/>
        </w:numPr>
        <w:kinsoku/>
        <w:wordWrap/>
        <w:overflowPunct/>
        <w:topLinePunct w:val="0"/>
        <w:autoSpaceDE/>
        <w:autoSpaceDN/>
        <w:bidi w:val="0"/>
        <w:spacing w:before="0" w:line="560" w:lineRule="exact"/>
        <w:ind w:firstLine="640" w:firstLineChars="200"/>
        <w:jc w:val="both"/>
        <w:textAlignment w:val="auto"/>
        <w:rPr>
          <w:rFonts w:hint="default" w:ascii="仿宋_GB2312" w:hAnsi="仿宋_GB2312" w:eastAsia="仿宋_GB2312" w:cs="仿宋_GB2312"/>
          <w:bCs/>
          <w:kern w:val="0"/>
          <w:sz w:val="32"/>
          <w:szCs w:val="32"/>
          <w:highlight w:val="none"/>
          <w:lang w:val="en-US" w:eastAsia="zh-CN" w:bidi="ar-SA"/>
        </w:rPr>
      </w:pPr>
      <w:r>
        <w:rPr>
          <w:rFonts w:hint="default" w:ascii="Times New Roman" w:hAnsi="Times New Roman" w:cs="Times New Roman"/>
          <w:b w:val="0"/>
          <w:bCs w:val="0"/>
          <w:color w:val="auto"/>
          <w:sz w:val="32"/>
          <w:szCs w:val="32"/>
          <w:highlight w:val="none"/>
          <w:lang w:val="en-US" w:eastAsia="zh-CN"/>
        </w:rPr>
        <w:t>（二）该地块所建商品住房单套毛坯住房最高销售单价</w:t>
      </w:r>
      <w:r>
        <w:rPr>
          <w:rFonts w:hint="eastAsia" w:ascii="仿宋_GB2312" w:hAnsi="仿宋_GB2312" w:eastAsia="仿宋_GB2312" w:cs="仿宋_GB2312"/>
          <w:bCs/>
          <w:kern w:val="0"/>
          <w:sz w:val="32"/>
          <w:szCs w:val="32"/>
          <w:highlight w:val="none"/>
          <w:lang w:val="en-US" w:eastAsia="zh-CN" w:bidi="ar-SA"/>
        </w:rPr>
        <w:t>12855</w:t>
      </w:r>
      <w:r>
        <w:rPr>
          <w:rFonts w:hint="default" w:ascii="仿宋_GB2312" w:hAnsi="仿宋_GB2312" w:eastAsia="仿宋_GB2312" w:cs="仿宋_GB2312"/>
          <w:bCs/>
          <w:kern w:val="0"/>
          <w:sz w:val="32"/>
          <w:szCs w:val="32"/>
          <w:highlight w:val="none"/>
          <w:lang w:val="en-US" w:eastAsia="zh-CN" w:bidi="ar-SA"/>
        </w:rPr>
        <w:t>元/㎡；</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三）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（四）竞得人除缴交成交地价款外，还需按规定缴交契税等有关税费；</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（五）非仲恺高新区注册登记的企业竞得土地使用权的，必须在竞得土地后2个月内在仲恺高新区市场监督管理部门注册成立项目开发公司，并以该公司名义办理土地出让与登记发证手续</w:t>
      </w:r>
      <w:r>
        <w:rPr>
          <w:rFonts w:hint="eastAsia" w:ascii="Times New Roman" w:hAnsi="Times New Roman" w:cs="Times New Roman"/>
          <w:b w:val="0"/>
          <w:bCs w:val="0"/>
          <w:color w:val="auto"/>
          <w:sz w:val="32"/>
          <w:szCs w:val="32"/>
          <w:highlight w:val="none"/>
          <w:lang w:val="en-US" w:eastAsia="zh-CN"/>
        </w:rPr>
        <w:t>；</w:t>
      </w:r>
    </w:p>
    <w:p>
      <w:pPr>
        <w:pStyle w:val="2"/>
        <w:keepNext w:val="0"/>
        <w:keepLines w:val="0"/>
        <w:pageBreakBefore w:val="0"/>
        <w:widowControl/>
        <w:kinsoku/>
        <w:wordWrap/>
        <w:overflowPunct/>
        <w:topLinePunct w:val="0"/>
        <w:autoSpaceDE/>
        <w:autoSpaceDN/>
        <w:bidi w:val="0"/>
        <w:spacing w:line="580" w:lineRule="exact"/>
        <w:ind w:firstLine="640"/>
        <w:jc w:val="both"/>
        <w:textAlignment w:val="auto"/>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Cs/>
          <w:kern w:val="0"/>
          <w:sz w:val="32"/>
          <w:szCs w:val="32"/>
          <w:highlight w:val="none"/>
          <w:lang w:val="en-US" w:eastAsia="zh-CN" w:bidi="ar-SA"/>
        </w:rPr>
        <w:t>（六）</w:t>
      </w:r>
      <w:r>
        <w:rPr>
          <w:rFonts w:hint="default" w:ascii="Times New Roman" w:hAnsi="Times New Roman" w:eastAsia="仿宋_GB2312" w:cs="Times New Roman"/>
          <w:b w:val="0"/>
          <w:bCs w:val="0"/>
          <w:sz w:val="32"/>
          <w:szCs w:val="32"/>
          <w:highlight w:val="none"/>
          <w:lang w:val="en-US" w:eastAsia="zh-CN"/>
        </w:rPr>
        <w:t>为推进住宅区养老服务设施建设，竞得人须配建养老服务设施，建成后无偿移交给仲恺高新区社会事务局；由仲恺高新区社会事务局负责提供养老服务设施建设标准、审定建设方案，竞得人须与仲恺高新区社会事务局签订养老服务设施配建及监管协议</w:t>
      </w:r>
      <w:r>
        <w:rPr>
          <w:rFonts w:hint="eastAsia" w:ascii="Times New Roman" w:hAnsi="Times New Roman" w:eastAsia="仿宋_GB2312" w:cs="Times New Roman"/>
          <w:b w:val="0"/>
          <w:bCs w:val="0"/>
          <w:sz w:val="32"/>
          <w:szCs w:val="32"/>
          <w:highlight w:val="none"/>
          <w:lang w:val="en-US" w:eastAsia="zh-CN"/>
        </w:rPr>
        <w:t>；</w:t>
      </w:r>
    </w:p>
    <w:p>
      <w:pPr>
        <w:pStyle w:val="2"/>
        <w:keepNext w:val="0"/>
        <w:keepLines w:val="0"/>
        <w:pageBreakBefore w:val="0"/>
        <w:widowControl/>
        <w:kinsoku/>
        <w:wordWrap/>
        <w:overflowPunct/>
        <w:topLinePunct w:val="0"/>
        <w:autoSpaceDE/>
        <w:autoSpaceDN/>
        <w:bidi w:val="0"/>
        <w:spacing w:line="580" w:lineRule="exact"/>
        <w:ind w:firstLine="64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七）为加快推进该片区内幼儿园建设，由竞得人须配建一所9班幼儿园，建成后无偿移交给仲恺高新区宣教文卫办；由仲恺高新区宣教文卫办负责提供幼儿园建设标准、审定建设方案，并与竞得人签订幼儿园配建及监管协议。</w:t>
      </w:r>
      <w:bookmarkStart w:id="3" w:name="_GoBack"/>
      <w:bookmarkEnd w:id="3"/>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lang w:val="en-US" w:eastAsia="zh-CN"/>
        </w:rPr>
        <w:t>六、</w:t>
      </w:r>
      <w:r>
        <w:rPr>
          <w:rFonts w:hint="default" w:ascii="Times New Roman" w:hAnsi="Times New Roman" w:eastAsia="仿宋_GB2312" w:cs="Times New Roman"/>
          <w:b w:val="0"/>
          <w:bCs w:val="0"/>
          <w:color w:val="auto"/>
          <w:sz w:val="32"/>
          <w:szCs w:val="32"/>
          <w:highlight w:val="none"/>
        </w:rPr>
        <w:t>竞买保证金</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一</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该宗地竞买保证金为人民币</w:t>
      </w:r>
      <w:r>
        <w:rPr>
          <w:rFonts w:hint="eastAsia" w:ascii="仿宋_GB2312" w:hAnsi="仿宋_GB2312" w:cs="仿宋_GB2312"/>
          <w:bCs/>
          <w:kern w:val="0"/>
          <w:sz w:val="32"/>
          <w:szCs w:val="32"/>
          <w:highlight w:val="none"/>
          <w:lang w:val="en-US" w:eastAsia="zh-CN" w:bidi="ar-SA"/>
        </w:rPr>
        <w:t>13235</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cs="Times New Roman"/>
          <w:b w:val="0"/>
          <w:bCs w:val="0"/>
          <w:color w:val="auto"/>
          <w:sz w:val="32"/>
          <w:szCs w:val="32"/>
          <w:highlight w:val="none"/>
          <w:lang w:eastAsia="zh-CN"/>
        </w:rPr>
        <w:t>。</w:t>
      </w:r>
    </w:p>
    <w:p>
      <w:pPr>
        <w:pStyle w:val="1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 w:name="bookmark19"/>
      <w:r>
        <w:rPr>
          <w:rFonts w:hint="default" w:ascii="Times New Roman" w:hAnsi="Times New Roman" w:eastAsia="仿宋_GB2312" w:cs="Times New Roman"/>
          <w:color w:val="000000"/>
          <w:spacing w:val="0"/>
          <w:w w:val="100"/>
          <w:position w:val="0"/>
          <w:sz w:val="32"/>
          <w:szCs w:val="32"/>
          <w:highlight w:val="none"/>
        </w:rPr>
        <w:t>（</w:t>
      </w:r>
      <w:bookmarkEnd w:id="1"/>
      <w:r>
        <w:rPr>
          <w:rFonts w:hint="default" w:ascii="Times New Roman" w:hAnsi="Times New Roman" w:eastAsia="仿宋_GB2312" w:cs="Times New Roman"/>
          <w:color w:val="000000"/>
          <w:spacing w:val="0"/>
          <w:w w:val="100"/>
          <w:position w:val="0"/>
          <w:sz w:val="32"/>
          <w:szCs w:val="32"/>
          <w:highlight w:val="none"/>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highlight w:val="none"/>
          <w:lang w:val="en-US" w:eastAsia="en-US"/>
        </w:rPr>
        <w:t>https://www.hzgtjy.com/</w:t>
      </w:r>
      <w:r>
        <w:rPr>
          <w:rFonts w:hint="default" w:ascii="Times New Roman" w:hAnsi="Times New Roman" w:eastAsia="仿宋_GB2312" w:cs="Times New Roman"/>
          <w:color w:val="000000"/>
          <w:spacing w:val="0"/>
          <w:w w:val="100"/>
          <w:position w:val="0"/>
          <w:sz w:val="32"/>
          <w:szCs w:val="32"/>
          <w:highlight w:val="none"/>
        </w:rPr>
        <w:t>）获取竞买保证金支付账号。</w:t>
      </w:r>
    </w:p>
    <w:p>
      <w:pPr>
        <w:pStyle w:val="1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 w:name="bookmark20"/>
      <w:r>
        <w:rPr>
          <w:rFonts w:hint="default" w:ascii="Times New Roman" w:hAnsi="Times New Roman" w:eastAsia="仿宋_GB2312" w:cs="Times New Roman"/>
          <w:color w:val="000000"/>
          <w:spacing w:val="0"/>
          <w:w w:val="100"/>
          <w:position w:val="0"/>
          <w:sz w:val="32"/>
          <w:szCs w:val="32"/>
          <w:highlight w:val="none"/>
        </w:rPr>
        <w:t>（</w:t>
      </w:r>
      <w:bookmarkEnd w:id="2"/>
      <w:r>
        <w:rPr>
          <w:rFonts w:hint="default" w:ascii="Times New Roman" w:hAnsi="Times New Roman" w:eastAsia="仿宋_GB2312" w:cs="Times New Roman"/>
          <w:color w:val="000000"/>
          <w:spacing w:val="0"/>
          <w:w w:val="100"/>
          <w:position w:val="0"/>
          <w:sz w:val="32"/>
          <w:szCs w:val="32"/>
          <w:highlight w:val="none"/>
        </w:rPr>
        <w:t>三）竞买保证金到账时间以网上挂牌交易系统确认并发出 《保证金到账通知书》为准。</w:t>
      </w:r>
    </w:p>
    <w:p>
      <w:pPr>
        <w:keepNext w:val="0"/>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七、</w:t>
      </w:r>
      <w:r>
        <w:rPr>
          <w:rFonts w:hint="default" w:ascii="Times New Roman" w:hAnsi="Times New Roman" w:eastAsia="仿宋_GB2312" w:cs="Times New Roman"/>
          <w:b w:val="0"/>
          <w:bCs w:val="0"/>
          <w:color w:val="auto"/>
          <w:sz w:val="32"/>
          <w:szCs w:val="32"/>
          <w:highlight w:val="none"/>
        </w:rPr>
        <w:t>竞买申请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本宗国有建设用地使用权网上挂牌出让只接受网上竞买申请，即通过网上挂牌交易系统进行，不接受电话、邮寄、书面、电子邮件及口头竞买。凡</w:t>
      </w:r>
      <w:r>
        <w:rPr>
          <w:rFonts w:hint="default" w:ascii="Times New Roman" w:hAnsi="Times New Roman" w:eastAsia="仿宋_GB2312" w:cs="Times New Roman"/>
          <w:b w:val="0"/>
          <w:bCs w:val="0"/>
          <w:color w:val="auto"/>
          <w:sz w:val="32"/>
          <w:szCs w:val="32"/>
          <w:highlight w:val="none"/>
          <w:lang w:val="en-US" w:eastAsia="zh-CN"/>
        </w:rPr>
        <w:t>符合竞买资格要求并</w:t>
      </w:r>
      <w:r>
        <w:rPr>
          <w:rFonts w:hint="default" w:ascii="Times New Roman" w:hAnsi="Times New Roman" w:eastAsia="仿宋_GB2312" w:cs="Times New Roman"/>
          <w:b w:val="0"/>
          <w:bCs w:val="0"/>
          <w:color w:val="auto"/>
          <w:sz w:val="32"/>
          <w:szCs w:val="32"/>
          <w:highlight w:val="none"/>
        </w:rPr>
        <w:t>办理数字证书、按要求足额交纳竞买保证金的申请人，方可参加网上挂牌交易活动。</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本宗国有建设用地使用权网上挂牌出让实行竞买资格后置审查。竞买申请人交纳足额竞买保证金即获得竞买报价权限。</w:t>
      </w:r>
    </w:p>
    <w:p>
      <w:pPr>
        <w:pStyle w:val="6"/>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八、</w:t>
      </w:r>
      <w:r>
        <w:rPr>
          <w:rFonts w:hint="default" w:ascii="Times New Roman" w:hAnsi="Times New Roman" w:eastAsia="仿宋_GB2312" w:cs="Times New Roman"/>
          <w:b w:val="0"/>
          <w:bCs w:val="0"/>
          <w:color w:val="auto"/>
          <w:sz w:val="32"/>
          <w:szCs w:val="32"/>
          <w:highlight w:val="none"/>
        </w:rPr>
        <w:t>竞买人电子报价</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电子限时竞价</w:t>
      </w:r>
      <w:r>
        <w:rPr>
          <w:rFonts w:hint="default" w:ascii="Times New Roman" w:hAnsi="Times New Roman" w:cs="Times New Roman"/>
          <w:b w:val="0"/>
          <w:bCs w:val="0"/>
          <w:color w:val="auto"/>
          <w:sz w:val="32"/>
          <w:szCs w:val="32"/>
          <w:highlight w:val="none"/>
          <w:lang w:val="en-US" w:eastAsia="zh-CN"/>
        </w:rPr>
        <w:t>及摇号</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九、</w:t>
      </w:r>
      <w:r>
        <w:rPr>
          <w:rFonts w:hint="default" w:ascii="Times New Roman" w:hAnsi="Times New Roman" w:eastAsia="仿宋_GB2312" w:cs="Times New Roman"/>
          <w:b w:val="0"/>
          <w:bCs w:val="0"/>
          <w:color w:val="auto"/>
          <w:sz w:val="32"/>
          <w:szCs w:val="32"/>
          <w:highlight w:val="none"/>
        </w:rPr>
        <w:t>确定成交候选人</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w:t>
      </w:r>
      <w:r>
        <w:rPr>
          <w:rFonts w:hint="default" w:ascii="Times New Roman" w:hAnsi="Times New Roman" w:eastAsia="仿宋_GB2312" w:cs="Times New Roman"/>
          <w:b w:val="0"/>
          <w:bCs w:val="0"/>
          <w:color w:val="auto"/>
          <w:sz w:val="32"/>
          <w:szCs w:val="32"/>
          <w:highlight w:val="none"/>
          <w:lang w:eastAsia="zh-CN"/>
        </w:rPr>
        <w:t>宗</w:t>
      </w:r>
      <w:r>
        <w:rPr>
          <w:rFonts w:hint="default" w:ascii="Times New Roman" w:hAnsi="Times New Roman" w:eastAsia="仿宋_GB2312" w:cs="Times New Roman"/>
          <w:b w:val="0"/>
          <w:bCs w:val="0"/>
          <w:color w:val="auto"/>
          <w:sz w:val="32"/>
          <w:szCs w:val="32"/>
          <w:highlight w:val="none"/>
        </w:rPr>
        <w:t>国有建设用地使用权网上挂牌出让为无底价挂牌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采取</w:t>
      </w:r>
      <w:r>
        <w:rPr>
          <w:rFonts w:hint="default" w:ascii="Times New Roman" w:hAnsi="Times New Roman" w:eastAsia="仿宋_GB2312" w:cs="Times New Roman"/>
          <w:b w:val="0"/>
          <w:bCs/>
          <w:sz w:val="32"/>
          <w:szCs w:val="32"/>
          <w:lang w:eastAsia="zh-CN"/>
        </w:rPr>
        <w:t>“限地价、摇号”</w:t>
      </w:r>
      <w:r>
        <w:rPr>
          <w:rFonts w:hint="default" w:ascii="Times New Roman" w:hAnsi="Times New Roman" w:eastAsia="仿宋_GB2312" w:cs="Times New Roman"/>
          <w:b w:val="0"/>
          <w:bCs w:val="0"/>
          <w:color w:val="auto"/>
          <w:sz w:val="32"/>
          <w:szCs w:val="32"/>
          <w:highlight w:val="none"/>
        </w:rPr>
        <w:t>方式出让并确定成交候选人。</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w:t>
      </w:r>
      <w:r>
        <w:rPr>
          <w:rFonts w:hint="default" w:ascii="Times New Roman" w:hAnsi="Times New Roman" w:eastAsia="仿宋_GB2312" w:cs="Times New Roman"/>
          <w:b w:val="0"/>
          <w:bCs w:val="0"/>
          <w:color w:val="auto"/>
          <w:sz w:val="32"/>
          <w:szCs w:val="32"/>
          <w:highlight w:val="none"/>
        </w:rPr>
        <w:t>资格审查</w:t>
      </w:r>
    </w:p>
    <w:p>
      <w:pPr>
        <w:pStyle w:val="5"/>
        <w:keepNext w:val="0"/>
        <w:keepLines w:val="0"/>
        <w:pageBreakBefore w:val="0"/>
        <w:kinsoku/>
        <w:wordWrap/>
        <w:overflowPunct/>
        <w:topLinePunct w:val="0"/>
        <w:autoSpaceDE/>
        <w:autoSpaceDN/>
        <w:bidi w:val="0"/>
        <w:spacing w:line="560" w:lineRule="exact"/>
        <w:ind w:firstLine="579" w:firstLineChars="181"/>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成交候选人应在网上挂牌交易系统确定成交候选人之日起</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个工作日内将竞买申请纸质材料提交至我局，由我局对竞买资格进行审查。我局将</w:t>
      </w:r>
      <w:r>
        <w:rPr>
          <w:rFonts w:hint="default" w:ascii="Times New Roman" w:hAnsi="Times New Roman" w:eastAsia="仿宋_GB2312" w:cs="Times New Roman"/>
          <w:b w:val="0"/>
          <w:bCs w:val="0"/>
          <w:color w:val="auto"/>
          <w:sz w:val="32"/>
          <w:szCs w:val="32"/>
          <w:highlight w:val="none"/>
          <w:u w:val="none"/>
        </w:rPr>
        <w:t>于</w:t>
      </w:r>
      <w:r>
        <w:rPr>
          <w:rFonts w:hint="default" w:ascii="Times New Roman" w:hAnsi="Times New Roman" w:eastAsia="仿宋_GB2312" w:cs="Times New Roman"/>
          <w:b w:val="0"/>
          <w:bCs w:val="0"/>
          <w:color w:val="auto"/>
          <w:sz w:val="32"/>
          <w:szCs w:val="32"/>
          <w:highlight w:val="none"/>
          <w:u w:val="none"/>
          <w:lang w:val="en-US" w:eastAsia="zh-CN"/>
        </w:rPr>
        <w:t>20</w:t>
      </w:r>
      <w:r>
        <w:rPr>
          <w:rFonts w:hint="eastAsia" w:eastAsia="仿宋_GB2312" w:cs="Times New Roman"/>
          <w:b w:val="0"/>
          <w:bCs w:val="0"/>
          <w:color w:val="auto"/>
          <w:sz w:val="32"/>
          <w:szCs w:val="32"/>
          <w:highlight w:val="none"/>
          <w:u w:val="none"/>
          <w:lang w:val="en-US" w:eastAsia="zh-CN"/>
        </w:rPr>
        <w:t>23</w:t>
      </w:r>
      <w:r>
        <w:rPr>
          <w:rFonts w:hint="default" w:ascii="Times New Roman" w:hAnsi="Times New Roman" w:eastAsia="仿宋_GB2312" w:cs="Times New Roman"/>
          <w:b w:val="0"/>
          <w:bCs w:val="0"/>
          <w:color w:val="auto"/>
          <w:sz w:val="32"/>
          <w:szCs w:val="32"/>
          <w:highlight w:val="none"/>
          <w:u w:val="none"/>
        </w:rPr>
        <w:t>年</w:t>
      </w:r>
      <w:r>
        <w:rPr>
          <w:rFonts w:hint="default" w:ascii="Times New Roman" w:hAnsi="Times New Roman" w:eastAsia="仿宋_GB2312" w:cs="Times New Roman"/>
          <w:b w:val="0"/>
          <w:bCs w:val="0"/>
          <w:color w:val="auto"/>
          <w:sz w:val="32"/>
          <w:szCs w:val="32"/>
          <w:highlight w:val="none"/>
          <w:u w:val="none"/>
          <w:lang w:val="en-US" w:eastAsia="zh-CN"/>
        </w:rPr>
        <w:t>1</w:t>
      </w:r>
      <w:r>
        <w:rPr>
          <w:rFonts w:hint="default" w:ascii="Times New Roman" w:hAnsi="Times New Roman" w:eastAsia="仿宋_GB2312" w:cs="Times New Roman"/>
          <w:b w:val="0"/>
          <w:bCs w:val="0"/>
          <w:color w:val="auto"/>
          <w:sz w:val="32"/>
          <w:szCs w:val="32"/>
          <w:highlight w:val="none"/>
          <w:u w:val="none"/>
        </w:rPr>
        <w:t>月</w:t>
      </w:r>
      <w:r>
        <w:rPr>
          <w:rFonts w:hint="eastAsia" w:eastAsia="仿宋_GB2312" w:cs="Times New Roman"/>
          <w:b w:val="0"/>
          <w:bCs w:val="0"/>
          <w:color w:val="auto"/>
          <w:sz w:val="32"/>
          <w:szCs w:val="32"/>
          <w:highlight w:val="none"/>
          <w:u w:val="none"/>
          <w:lang w:val="en-US" w:eastAsia="zh-CN"/>
        </w:rPr>
        <w:t>29</w:t>
      </w:r>
      <w:r>
        <w:rPr>
          <w:rFonts w:hint="default" w:ascii="Times New Roman" w:hAnsi="Times New Roman" w:eastAsia="仿宋_GB2312" w:cs="Times New Roman"/>
          <w:b w:val="0"/>
          <w:bCs w:val="0"/>
          <w:color w:val="auto"/>
          <w:sz w:val="32"/>
          <w:szCs w:val="32"/>
          <w:highlight w:val="none"/>
          <w:u w:val="none"/>
        </w:rPr>
        <w:t>日</w:t>
      </w:r>
      <w:r>
        <w:rPr>
          <w:rFonts w:hint="default" w:ascii="Times New Roman" w:hAnsi="Times New Roman" w:eastAsia="仿宋_GB2312" w:cs="Times New Roman"/>
          <w:b w:val="0"/>
          <w:bCs w:val="0"/>
          <w:color w:val="auto"/>
          <w:sz w:val="32"/>
          <w:szCs w:val="32"/>
          <w:highlight w:val="none"/>
        </w:rPr>
        <w:t xml:space="preserve">前确定符合竞买资格的成交候选人为竞得人。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成交候选人资格审查须提交下列材料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一式两份</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一</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《竞买申请书》（加盖公章）；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二</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《竞价结果通知书》（加盖公章）；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三</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《竞买保证金到账通知书》（加盖公章）；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四</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竞买保证金转账凭证复印件（加盖公章）；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五</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申请竞买人有效的《营业执照》复印件（加盖公章）；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六</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法定代表人身份证复印件（加盖公章）；</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七</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rPr>
        <w:t>授权他人代理的授权委托书及代理人身份证复印件（核对原件）</w:t>
      </w:r>
      <w:r>
        <w:rPr>
          <w:rFonts w:hint="eastAsia" w:eastAsia="仿宋_GB2312" w:cs="Times New Roman"/>
          <w:b w:val="0"/>
          <w:bCs w:val="0"/>
          <w:color w:val="auto"/>
          <w:kern w:val="2"/>
          <w:sz w:val="32"/>
          <w:szCs w:val="32"/>
          <w:highlight w:val="none"/>
          <w:lang w:eastAsia="zh-CN"/>
        </w:rPr>
        <w:t>；</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（八）房地产开发资质材料</w:t>
      </w:r>
      <w:r>
        <w:rPr>
          <w:rFonts w:hint="eastAsia" w:eastAsia="仿宋_GB2312" w:cs="Times New Roman"/>
          <w:b w:val="0"/>
          <w:bCs w:val="0"/>
          <w:color w:val="auto"/>
          <w:kern w:val="2"/>
          <w:sz w:val="32"/>
          <w:szCs w:val="32"/>
          <w:highlight w:val="none"/>
          <w:lang w:val="en-US" w:eastAsia="zh-CN"/>
        </w:rPr>
        <w:t>；</w:t>
      </w:r>
    </w:p>
    <w:p>
      <w:pPr>
        <w:pStyle w:val="8"/>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（九）购地资金来源承诺书</w:t>
      </w:r>
      <w:r>
        <w:rPr>
          <w:rFonts w:hint="eastAsia" w:eastAsia="仿宋_GB2312" w:cs="Times New Roman"/>
          <w:b w:val="0"/>
          <w:bCs w:val="0"/>
          <w:color w:val="auto"/>
          <w:kern w:val="2"/>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555"/>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十一、</w:t>
      </w:r>
      <w:r>
        <w:rPr>
          <w:rFonts w:hint="default" w:ascii="Times New Roman" w:hAnsi="Times New Roman" w:eastAsia="仿宋_GB2312" w:cs="Times New Roman"/>
          <w:b w:val="0"/>
          <w:bCs w:val="0"/>
          <w:color w:val="auto"/>
          <w:sz w:val="32"/>
          <w:szCs w:val="32"/>
          <w:highlight w:val="none"/>
        </w:rPr>
        <w:t>签订成交确认书</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出让合同</w:t>
      </w:r>
      <w:r>
        <w:rPr>
          <w:rFonts w:hint="default" w:ascii="Times New Roman" w:hAnsi="Times New Roman" w:eastAsia="仿宋_GB2312" w:cs="Times New Roman"/>
          <w:b w:val="0"/>
          <w:bCs w:val="0"/>
          <w:color w:val="auto"/>
          <w:sz w:val="32"/>
          <w:szCs w:val="32"/>
          <w:highlight w:val="none"/>
          <w:lang w:val="en-US" w:eastAsia="zh-CN"/>
        </w:rPr>
        <w:t>及支付土地出让金</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竞得人应在接到竞得人确定通知之日起</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rPr>
        <w:t>个工作日内</w:t>
      </w:r>
      <w:r>
        <w:rPr>
          <w:rFonts w:hint="default" w:ascii="Times New Roman" w:hAnsi="Times New Roman" w:eastAsia="仿宋_GB2312" w:cs="Times New Roman"/>
          <w:b w:val="0"/>
          <w:bCs w:val="0"/>
          <w:color w:val="auto"/>
          <w:sz w:val="32"/>
          <w:szCs w:val="32"/>
          <w:highlight w:val="none"/>
          <w:lang w:eastAsia="zh-CN"/>
        </w:rPr>
        <w:t>与我局、</w:t>
      </w:r>
      <w:r>
        <w:rPr>
          <w:rFonts w:hint="default" w:ascii="Times New Roman" w:hAnsi="Times New Roman" w:eastAsia="仿宋_GB2312" w:cs="Times New Roman"/>
          <w:b w:val="0"/>
          <w:bCs w:val="0"/>
          <w:color w:val="auto"/>
          <w:sz w:val="32"/>
          <w:szCs w:val="32"/>
          <w:highlight w:val="none"/>
          <w:lang w:val="en-US" w:eastAsia="zh-CN"/>
        </w:rPr>
        <w:t>惠州市公共资源交易中心仲恺分中心</w:t>
      </w:r>
      <w:r>
        <w:rPr>
          <w:rFonts w:hint="default" w:ascii="Times New Roman" w:hAnsi="Times New Roman" w:eastAsia="仿宋_GB2312" w:cs="Times New Roman"/>
          <w:b w:val="0"/>
          <w:bCs w:val="0"/>
          <w:color w:val="auto"/>
          <w:sz w:val="32"/>
          <w:szCs w:val="32"/>
          <w:highlight w:val="none"/>
        </w:rPr>
        <w:t>签订《成交确认书》，签订《成交确认书》之日起5个工作日内，须向</w:t>
      </w:r>
      <w:r>
        <w:rPr>
          <w:rFonts w:hint="default" w:ascii="Times New Roman" w:hAnsi="Times New Roman" w:eastAsia="仿宋_GB2312" w:cs="Times New Roman"/>
          <w:b w:val="0"/>
          <w:bCs w:val="0"/>
          <w:color w:val="auto"/>
          <w:sz w:val="32"/>
          <w:szCs w:val="32"/>
          <w:highlight w:val="none"/>
          <w:lang w:val="en-US" w:eastAsia="zh-CN"/>
        </w:rPr>
        <w:t>我</w:t>
      </w:r>
      <w:r>
        <w:rPr>
          <w:rFonts w:hint="default" w:ascii="Times New Roman" w:hAnsi="Times New Roman" w:eastAsia="仿宋_GB2312" w:cs="Times New Roman"/>
          <w:b w:val="0"/>
          <w:bCs w:val="0"/>
          <w:color w:val="auto"/>
          <w:sz w:val="32"/>
          <w:szCs w:val="32"/>
          <w:highlight w:val="none"/>
        </w:rPr>
        <w:t>局提交申请受让国有建设用地使用权的有关材料；签订《成交确认书》之日起10个工作日内，须与</w:t>
      </w:r>
      <w:r>
        <w:rPr>
          <w:rFonts w:hint="default" w:ascii="Times New Roman" w:hAnsi="Times New Roman" w:eastAsia="仿宋_GB2312" w:cs="Times New Roman"/>
          <w:b w:val="0"/>
          <w:bCs w:val="0"/>
          <w:color w:val="auto"/>
          <w:sz w:val="32"/>
          <w:szCs w:val="32"/>
          <w:highlight w:val="none"/>
          <w:lang w:val="en-US" w:eastAsia="zh-CN"/>
        </w:rPr>
        <w:t>我局</w:t>
      </w:r>
      <w:r>
        <w:rPr>
          <w:rFonts w:hint="default" w:ascii="Times New Roman" w:hAnsi="Times New Roman" w:eastAsia="仿宋_GB2312" w:cs="Times New Roman"/>
          <w:b w:val="0"/>
          <w:bCs w:val="0"/>
          <w:color w:val="auto"/>
          <w:sz w:val="32"/>
          <w:szCs w:val="32"/>
          <w:highlight w:val="none"/>
        </w:rPr>
        <w:t>签订《出让合同》。土地出让金于《出让合同》签订之日起30日内一次性付清。竞得人逾期不签订《出让合同》的或已签《出让合同》不缴纳成交价款的，必须收回土地，并按规定处罚。</w:t>
      </w:r>
    </w:p>
    <w:p>
      <w:pPr>
        <w:keepNext w:val="0"/>
        <w:keepLines w:val="0"/>
        <w:pageBreakBefore w:val="0"/>
        <w:kinsoku/>
        <w:wordWrap/>
        <w:overflowPunct/>
        <w:topLinePunct w:val="0"/>
        <w:autoSpaceDE/>
        <w:autoSpaceDN/>
        <w:bidi w:val="0"/>
        <w:spacing w:line="560" w:lineRule="exact"/>
        <w:ind w:firstLine="555"/>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付清出让金及有关税费后，竞得人可申请办理建设用地审批及土地登记发证手续。</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十二、</w:t>
      </w:r>
      <w:r>
        <w:rPr>
          <w:rFonts w:hint="default" w:ascii="Times New Roman" w:hAnsi="Times New Roman" w:eastAsia="仿宋_GB2312" w:cs="Times New Roman"/>
          <w:b w:val="0"/>
          <w:bCs w:val="0"/>
          <w:color w:val="auto"/>
          <w:sz w:val="32"/>
          <w:szCs w:val="32"/>
          <w:highlight w:val="none"/>
        </w:rPr>
        <w:t>竞买保证金退还或转付成交价款</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未成功竞得的竞买人所交竞买保证金，在5个工作日内予以退还；若违法违规竞买的，按有关规定处罚后予以退还。</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竞得人签订《成交确认书》后，缴交的保证金中按成交价的20%转作定金;竞得人逾期或拒绝签订《出让合同》的，定金不予退还。竞得人签订《出让合同》后，定金转作土地出让价款。</w:t>
      </w:r>
    </w:p>
    <w:p>
      <w:pPr>
        <w:pStyle w:val="5"/>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十</w:t>
      </w: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、违规责任</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不符合竞买资格条件的；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提供虚假文件材料，隐瞒重要事实的；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采取行贿、恶意串通等非法手段竞得的；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四</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无正当理由逾期或拒绝签订成交确认书的；</w:t>
      </w:r>
    </w:p>
    <w:p>
      <w:pPr>
        <w:pStyle w:val="5"/>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十</w:t>
      </w:r>
      <w:r>
        <w:rPr>
          <w:rFonts w:hint="default" w:ascii="Times New Roman" w:hAnsi="Times New Roman" w:eastAsia="仿宋_GB2312" w:cs="Times New Roman"/>
          <w:b w:val="0"/>
          <w:bCs w:val="0"/>
          <w:color w:val="auto"/>
          <w:sz w:val="32"/>
          <w:szCs w:val="32"/>
          <w:highlight w:val="none"/>
          <w:lang w:eastAsia="zh-CN"/>
        </w:rPr>
        <w:t>四</w:t>
      </w:r>
      <w:r>
        <w:rPr>
          <w:rFonts w:hint="default" w:ascii="Times New Roman" w:hAnsi="Times New Roman" w:eastAsia="仿宋_GB2312" w:cs="Times New Roman"/>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560" w:lineRule="exact"/>
        <w:ind w:firstLine="555"/>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（一）本宗地网上挂牌出让的详细资料和具体要求，见网上挂牌交易系统。申请人可在网上挂牌交易系统下载挂牌出让公告、须知及相关交易文件。</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（二）有意竞买者可以自行到地块现场踏勘（可在网上挂牌交易系统查阅</w:t>
      </w:r>
      <w:r>
        <w:rPr>
          <w:rFonts w:hint="default" w:ascii="Times New Roman" w:hAnsi="Times New Roman" w:eastAsia="仿宋_GB2312" w:cs="Times New Roman"/>
          <w:b w:val="0"/>
          <w:bCs w:val="0"/>
          <w:color w:val="auto"/>
          <w:sz w:val="32"/>
          <w:szCs w:val="32"/>
          <w:highlight w:val="none"/>
          <w:lang w:val="en-US" w:eastAsia="zh-CN"/>
        </w:rPr>
        <w:t>用地红线图</w:t>
      </w:r>
      <w:r>
        <w:rPr>
          <w:rFonts w:hint="default" w:ascii="Times New Roman" w:hAnsi="Times New Roman" w:eastAsia="仿宋_GB2312" w:cs="Times New Roman"/>
          <w:b w:val="0"/>
          <w:bCs w:val="0"/>
          <w:color w:val="auto"/>
          <w:sz w:val="32"/>
          <w:szCs w:val="32"/>
          <w:highlight w:val="none"/>
        </w:rPr>
        <w:t>）。</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5"/>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（四）地块动工竣工时间及地块交付时间</w:t>
      </w:r>
    </w:p>
    <w:p>
      <w:pPr>
        <w:pStyle w:val="5"/>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《出让合同》签订之日交付土地；动工时间为土地交付之日起1年内，竣工时间为土地交付之日起3年内。</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（五）该宗地交易全程适用</w:t>
      </w:r>
      <w:r>
        <w:rPr>
          <w:rFonts w:hint="default" w:ascii="Times New Roman" w:hAnsi="Times New Roman" w:eastAsia="仿宋_GB2312" w:cs="Times New Roman"/>
          <w:b w:val="0"/>
          <w:bCs w:val="0"/>
          <w:color w:val="auto"/>
          <w:sz w:val="32"/>
          <w:szCs w:val="32"/>
          <w:highlight w:val="none"/>
        </w:rPr>
        <w:t>《惠州市政务服务数据管理局</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惠州市公共资源交易中心公共资源电子交易规则》</w:t>
      </w:r>
      <w:r>
        <w:rPr>
          <w:rFonts w:hint="default" w:ascii="Times New Roman" w:hAnsi="Times New Roman" w:eastAsia="仿宋_GB2312" w:cs="Times New Roman"/>
          <w:b w:val="0"/>
          <w:bCs w:val="0"/>
          <w:color w:val="auto"/>
          <w:sz w:val="32"/>
          <w:szCs w:val="32"/>
          <w:highlight w:val="none"/>
          <w:lang w:val="en-US" w:eastAsia="zh-CN"/>
        </w:rPr>
        <w:t>（惠市政数〔2022〕3号）。</w:t>
      </w:r>
    </w:p>
    <w:p>
      <w:pPr>
        <w:keepNext w:val="0"/>
        <w:keepLines w:val="0"/>
        <w:pageBreakBefore w:val="0"/>
        <w:numPr>
          <w:ilvl w:val="0"/>
          <w:numId w:val="0"/>
        </w:numPr>
        <w:kinsoku/>
        <w:wordWrap/>
        <w:overflowPunct/>
        <w:topLinePunct w:val="0"/>
        <w:autoSpaceDE/>
        <w:autoSpaceDN/>
        <w:bidi w:val="0"/>
        <w:spacing w:line="560" w:lineRule="exact"/>
        <w:ind w:leftChars="200" w:firstLine="320" w:firstLineChars="1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十五、</w:t>
      </w:r>
      <w:r>
        <w:rPr>
          <w:rFonts w:hint="default" w:ascii="Times New Roman" w:hAnsi="Times New Roman" w:eastAsia="仿宋_GB2312" w:cs="Times New Roman"/>
          <w:b w:val="0"/>
          <w:bCs w:val="0"/>
          <w:color w:val="auto"/>
          <w:sz w:val="32"/>
          <w:szCs w:val="32"/>
          <w:highlight w:val="none"/>
        </w:rPr>
        <w:t>联系方式：</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出让方：惠州市仲恺高新区国土资源分局</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联系地址：广东省惠州市仲恺高新区和畅五路人才服务大厦5楼</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eastAsia"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rPr>
        <w:t>联系人：</w:t>
      </w:r>
      <w:r>
        <w:rPr>
          <w:rFonts w:hint="eastAsia" w:eastAsia="仿宋_GB2312" w:cs="Times New Roman"/>
          <w:b w:val="0"/>
          <w:bCs w:val="0"/>
          <w:color w:val="auto"/>
          <w:sz w:val="32"/>
          <w:szCs w:val="32"/>
          <w:highlight w:val="none"/>
          <w:lang w:val="en-US" w:eastAsia="zh-CN"/>
        </w:rPr>
        <w:t>欧阳先生</w:t>
      </w:r>
    </w:p>
    <w:p>
      <w:pPr>
        <w:keepNext w:val="0"/>
        <w:keepLines w:val="0"/>
        <w:pageBreakBefore w:val="0"/>
        <w:kinsoku/>
        <w:wordWrap/>
        <w:overflowPunct/>
        <w:topLinePunct w:val="0"/>
        <w:autoSpaceDE/>
        <w:autoSpaceDN/>
        <w:bidi w:val="0"/>
        <w:spacing w:line="560" w:lineRule="exact"/>
        <w:ind w:right="64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联系电话：</w:t>
      </w:r>
      <w:r>
        <w:rPr>
          <w:rFonts w:hint="default" w:ascii="Times New Roman" w:hAnsi="Times New Roman" w:eastAsia="仿宋_GB2312" w:cs="Times New Roman"/>
          <w:b w:val="0"/>
          <w:bCs w:val="0"/>
          <w:color w:val="auto"/>
          <w:sz w:val="32"/>
          <w:szCs w:val="32"/>
          <w:highlight w:val="none"/>
          <w:lang w:val="en-US" w:eastAsia="en-US"/>
        </w:rPr>
        <w:t>0752-32716</w:t>
      </w:r>
      <w:r>
        <w:rPr>
          <w:rFonts w:hint="default" w:ascii="Times New Roman" w:hAnsi="Times New Roman" w:eastAsia="仿宋_GB2312" w:cs="Times New Roman"/>
          <w:b w:val="0"/>
          <w:bCs w:val="0"/>
          <w:color w:val="auto"/>
          <w:sz w:val="32"/>
          <w:szCs w:val="32"/>
          <w:highlight w:val="none"/>
          <w:lang w:val="en-US" w:eastAsia="zh-CN"/>
        </w:rPr>
        <w:t>33</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交易机构：惠州市公共资源交易中心</w:t>
      </w:r>
      <w:r>
        <w:rPr>
          <w:rFonts w:hint="default" w:ascii="Times New Roman" w:hAnsi="Times New Roman" w:eastAsia="仿宋_GB2312" w:cs="Times New Roman"/>
          <w:b w:val="0"/>
          <w:bCs w:val="0"/>
          <w:color w:val="auto"/>
          <w:sz w:val="32"/>
          <w:szCs w:val="32"/>
          <w:highlight w:val="none"/>
          <w:lang w:eastAsia="zh-CN"/>
        </w:rPr>
        <w:t>仲恺</w:t>
      </w:r>
      <w:r>
        <w:rPr>
          <w:rFonts w:hint="default" w:ascii="Times New Roman" w:hAnsi="Times New Roman" w:eastAsia="仿宋_GB2312" w:cs="Times New Roman"/>
          <w:b w:val="0"/>
          <w:bCs w:val="0"/>
          <w:color w:val="auto"/>
          <w:sz w:val="32"/>
          <w:szCs w:val="32"/>
          <w:highlight w:val="none"/>
        </w:rPr>
        <w:t>分中心</w:t>
      </w:r>
    </w:p>
    <w:p>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rPr>
        <w:t>联系地址：</w:t>
      </w:r>
      <w:r>
        <w:rPr>
          <w:rFonts w:hint="default" w:ascii="Times New Roman" w:hAnsi="Times New Roman" w:eastAsia="仿宋_GB2312" w:cs="Times New Roman"/>
          <w:b w:val="0"/>
          <w:bCs w:val="0"/>
          <w:color w:val="auto"/>
          <w:kern w:val="0"/>
          <w:sz w:val="32"/>
          <w:szCs w:val="32"/>
          <w:highlight w:val="none"/>
        </w:rPr>
        <w:t>广东省惠州市仲恺高新区和畅五路人才服务</w:t>
      </w:r>
    </w:p>
    <w:p>
      <w:pPr>
        <w:pStyle w:val="18"/>
        <w:keepNext w:val="0"/>
        <w:keepLines w:val="0"/>
        <w:pageBreakBefore w:val="0"/>
        <w:widowControl w:val="0"/>
        <w:kinsoku/>
        <w:wordWrap/>
        <w:overflowPunct/>
        <w:topLinePunct w:val="0"/>
        <w:autoSpaceDE/>
        <w:autoSpaceDN/>
        <w:bidi w:val="0"/>
        <w:spacing w:line="560" w:lineRule="exact"/>
        <w:ind w:firstLine="2240" w:firstLineChars="7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大厦10楼</w:t>
      </w:r>
    </w:p>
    <w:p>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联系人：</w:t>
      </w:r>
      <w:r>
        <w:rPr>
          <w:rFonts w:hint="default" w:ascii="Times New Roman" w:hAnsi="Times New Roman" w:eastAsia="仿宋_GB2312" w:cs="Times New Roman"/>
          <w:b w:val="0"/>
          <w:bCs w:val="0"/>
          <w:color w:val="auto"/>
          <w:kern w:val="0"/>
          <w:sz w:val="32"/>
          <w:szCs w:val="32"/>
          <w:highlight w:val="none"/>
        </w:rPr>
        <w:t>汪</w:t>
      </w:r>
      <w:r>
        <w:rPr>
          <w:rFonts w:hint="default" w:ascii="Times New Roman" w:hAnsi="Times New Roman" w:eastAsia="仿宋_GB2312" w:cs="Times New Roman"/>
          <w:b w:val="0"/>
          <w:bCs w:val="0"/>
          <w:color w:val="auto"/>
          <w:kern w:val="0"/>
          <w:sz w:val="32"/>
          <w:szCs w:val="32"/>
          <w:highlight w:val="none"/>
          <w:lang w:val="en-US" w:eastAsia="zh-CN"/>
        </w:rPr>
        <w:t>鑫</w:t>
      </w:r>
      <w:r>
        <w:rPr>
          <w:rFonts w:hint="default" w:ascii="Times New Roman" w:hAnsi="Times New Roman" w:eastAsia="仿宋_GB2312" w:cs="Times New Roman"/>
          <w:b w:val="0"/>
          <w:bCs w:val="0"/>
          <w:color w:val="auto"/>
          <w:kern w:val="0"/>
          <w:sz w:val="32"/>
          <w:szCs w:val="32"/>
          <w:highlight w:val="none"/>
        </w:rPr>
        <w:t xml:space="preserve"> </w:t>
      </w:r>
      <w:r>
        <w:rPr>
          <w:rFonts w:hint="eastAsia" w:eastAsia="仿宋_GB2312" w:cs="Times New Roman"/>
          <w:b w:val="0"/>
          <w:bCs w:val="0"/>
          <w:color w:val="auto"/>
          <w:kern w:val="0"/>
          <w:sz w:val="32"/>
          <w:szCs w:val="32"/>
          <w:highlight w:val="none"/>
          <w:lang w:val="en-US" w:eastAsia="zh-CN"/>
        </w:rPr>
        <w:t xml:space="preserve">房曦 </w:t>
      </w:r>
      <w:r>
        <w:rPr>
          <w:rFonts w:hint="default" w:ascii="Times New Roman" w:hAnsi="Times New Roman" w:eastAsia="仿宋_GB2312" w:cs="Times New Roman"/>
          <w:b w:val="0"/>
          <w:bCs w:val="0"/>
          <w:color w:val="auto"/>
          <w:kern w:val="0"/>
          <w:sz w:val="32"/>
          <w:szCs w:val="32"/>
          <w:highlight w:val="none"/>
          <w:lang w:val="en-US" w:eastAsia="zh-CN"/>
        </w:rPr>
        <w:t>欧阳海棠</w:t>
      </w:r>
    </w:p>
    <w:p>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val="0"/>
          <w:bCs w:val="0"/>
          <w:color w:val="auto"/>
          <w:sz w:val="32"/>
          <w:szCs w:val="32"/>
          <w:highlight w:val="none"/>
        </w:rPr>
        <w:t>联系电话：</w:t>
      </w:r>
      <w:r>
        <w:rPr>
          <w:rFonts w:hint="default" w:ascii="Times New Roman" w:hAnsi="Times New Roman" w:eastAsia="仿宋_GB2312" w:cs="Times New Roman"/>
          <w:b w:val="0"/>
          <w:bCs w:val="0"/>
          <w:color w:val="auto"/>
          <w:kern w:val="0"/>
          <w:sz w:val="32"/>
          <w:szCs w:val="32"/>
          <w:highlight w:val="none"/>
        </w:rPr>
        <w:t>0752-</w:t>
      </w:r>
      <w:r>
        <w:rPr>
          <w:rFonts w:hint="eastAsia" w:eastAsia="仿宋_GB2312" w:cs="Times New Roman"/>
          <w:b w:val="0"/>
          <w:bCs w:val="0"/>
          <w:color w:val="auto"/>
          <w:kern w:val="0"/>
          <w:sz w:val="32"/>
          <w:szCs w:val="32"/>
          <w:highlight w:val="none"/>
          <w:lang w:val="en-US" w:eastAsia="zh-CN"/>
        </w:rPr>
        <w:t>3278</w:t>
      </w:r>
      <w:r>
        <w:rPr>
          <w:rFonts w:hint="default" w:ascii="Times New Roman" w:hAnsi="Times New Roman" w:eastAsia="仿宋_GB2312" w:cs="Times New Roman"/>
          <w:b w:val="0"/>
          <w:bCs w:val="0"/>
          <w:color w:val="auto"/>
          <w:kern w:val="0"/>
          <w:sz w:val="32"/>
          <w:szCs w:val="32"/>
          <w:highlight w:val="none"/>
        </w:rPr>
        <w:t>419</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注：本公告同时在下列网站及场所发布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中国土地市场网: http://www.landchina.com</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惠州市公共资源交易中心网：</w:t>
      </w:r>
      <w:r>
        <w:rPr>
          <w:rFonts w:hint="default" w:ascii="Times New Roman" w:hAnsi="Times New Roman" w:eastAsia="仿宋_GB2312" w:cs="Times New Roman"/>
          <w:b w:val="0"/>
          <w:bCs w:val="0"/>
          <w:color w:val="auto"/>
          <w:sz w:val="32"/>
          <w:szCs w:val="32"/>
          <w:highlight w:val="none"/>
        </w:rPr>
        <w:fldChar w:fldCharType="begin"/>
      </w:r>
      <w:r>
        <w:rPr>
          <w:rFonts w:hint="default" w:ascii="Times New Roman" w:hAnsi="Times New Roman" w:eastAsia="仿宋_GB2312" w:cs="Times New Roman"/>
          <w:b w:val="0"/>
          <w:bCs w:val="0"/>
          <w:color w:val="auto"/>
          <w:sz w:val="32"/>
          <w:szCs w:val="32"/>
          <w:highlight w:val="none"/>
        </w:rPr>
        <w:instrText xml:space="preserve"> HYPERLINK "http://zyjy.huizhou.gov.cn" </w:instrText>
      </w:r>
      <w:r>
        <w:rPr>
          <w:rFonts w:hint="default" w:ascii="Times New Roman" w:hAnsi="Times New Roman" w:eastAsia="仿宋_GB2312" w:cs="Times New Roman"/>
          <w:b w:val="0"/>
          <w:bCs w:val="0"/>
          <w:color w:val="auto"/>
          <w:sz w:val="32"/>
          <w:szCs w:val="32"/>
          <w:highlight w:val="none"/>
        </w:rPr>
        <w:fldChar w:fldCharType="separate"/>
      </w:r>
      <w:r>
        <w:rPr>
          <w:rFonts w:hint="default" w:ascii="Times New Roman" w:hAnsi="Times New Roman" w:eastAsia="仿宋_GB2312" w:cs="Times New Roman"/>
          <w:b w:val="0"/>
          <w:bCs w:val="0"/>
          <w:color w:val="auto"/>
          <w:sz w:val="32"/>
          <w:szCs w:val="32"/>
          <w:highlight w:val="none"/>
        </w:rPr>
        <w:t>http://zyjy.huizhou.gov.cn</w:t>
      </w:r>
      <w:r>
        <w:rPr>
          <w:rFonts w:hint="default" w:ascii="Times New Roman" w:hAnsi="Times New Roman" w:eastAsia="仿宋_GB2312" w:cs="Times New Roman"/>
          <w:b w:val="0"/>
          <w:bCs w:val="0"/>
          <w:color w:val="auto"/>
          <w:sz w:val="32"/>
          <w:szCs w:val="32"/>
          <w:highlight w:val="none"/>
        </w:rPr>
        <w:fldChar w:fldCharType="end"/>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惠州</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公共资源交易中心</w:t>
      </w:r>
      <w:r>
        <w:rPr>
          <w:rFonts w:hint="default" w:ascii="Times New Roman" w:hAnsi="Times New Roman" w:eastAsia="仿宋_GB2312" w:cs="Times New Roman"/>
          <w:b w:val="0"/>
          <w:bCs w:val="0"/>
          <w:color w:val="auto"/>
          <w:sz w:val="32"/>
          <w:szCs w:val="32"/>
          <w:highlight w:val="none"/>
          <w:lang w:eastAsia="zh-CN"/>
        </w:rPr>
        <w:t>仲恺分中心</w:t>
      </w:r>
      <w:r>
        <w:rPr>
          <w:rFonts w:hint="default" w:ascii="Times New Roman" w:hAnsi="Times New Roman" w:eastAsia="仿宋_GB2312" w:cs="Times New Roman"/>
          <w:b w:val="0"/>
          <w:bCs w:val="0"/>
          <w:color w:val="auto"/>
          <w:sz w:val="32"/>
          <w:szCs w:val="32"/>
          <w:highlight w:val="none"/>
        </w:rPr>
        <w:t>网站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fldChar w:fldCharType="begin"/>
      </w:r>
      <w:r>
        <w:rPr>
          <w:rFonts w:hint="default" w:ascii="Times New Roman" w:hAnsi="Times New Roman" w:eastAsia="仿宋_GB2312" w:cs="Times New Roman"/>
          <w:b w:val="0"/>
          <w:bCs w:val="0"/>
          <w:color w:val="auto"/>
          <w:sz w:val="32"/>
          <w:szCs w:val="32"/>
          <w:highlight w:val="none"/>
          <w:lang w:eastAsia="zh-CN"/>
        </w:rPr>
        <w:instrText xml:space="preserve"> HYPERLINK "http://www.hzzk.gov.cn/gwhbm/hzsggzyjyzxzzfzx/index.html" </w:instrText>
      </w:r>
      <w:r>
        <w:rPr>
          <w:rFonts w:hint="default" w:ascii="Times New Roman" w:hAnsi="Times New Roman" w:eastAsia="仿宋_GB2312" w:cs="Times New Roman"/>
          <w:b w:val="0"/>
          <w:bCs w:val="0"/>
          <w:color w:val="auto"/>
          <w:sz w:val="32"/>
          <w:szCs w:val="32"/>
          <w:highlight w:val="none"/>
          <w:lang w:eastAsia="zh-CN"/>
        </w:rPr>
        <w:fldChar w:fldCharType="separate"/>
      </w:r>
      <w:r>
        <w:rPr>
          <w:rStyle w:val="11"/>
          <w:rFonts w:hint="default" w:ascii="Times New Roman" w:hAnsi="Times New Roman" w:eastAsia="仿宋_GB2312" w:cs="Times New Roman"/>
          <w:b w:val="0"/>
          <w:bCs w:val="0"/>
          <w:color w:val="auto"/>
          <w:sz w:val="32"/>
          <w:szCs w:val="32"/>
          <w:highlight w:val="none"/>
          <w:lang w:eastAsia="zh-CN"/>
        </w:rPr>
        <w:t>http://www.hzzk.gov.cn/gwhbm/hzsggzyjyzxzzfzx/index.html</w:t>
      </w:r>
      <w:r>
        <w:rPr>
          <w:rFonts w:hint="default" w:ascii="Times New Roman" w:hAnsi="Times New Roman" w:eastAsia="仿宋_GB2312" w:cs="Times New Roman"/>
          <w:b w:val="0"/>
          <w:bCs w:val="0"/>
          <w:color w:val="auto"/>
          <w:sz w:val="32"/>
          <w:szCs w:val="32"/>
          <w:highlight w:val="none"/>
          <w:lang w:eastAsia="zh-CN"/>
        </w:rPr>
        <w:fldChar w:fldCharType="end"/>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lang w:val="en-US" w:eastAsia="zh-CN"/>
        </w:rPr>
        <w:t>惠州市仲恺高新区国土资源分局网站：</w:t>
      </w:r>
      <w:r>
        <w:rPr>
          <w:rFonts w:hint="default" w:ascii="Times New Roman" w:hAnsi="Times New Roman" w:eastAsia="仿宋_GB2312" w:cs="Times New Roman"/>
          <w:lang w:val="en-US" w:eastAsia="zh-CN"/>
        </w:rPr>
        <w:fldChar w:fldCharType="begin"/>
      </w:r>
      <w:r>
        <w:rPr>
          <w:rFonts w:hint="default" w:ascii="Times New Roman" w:hAnsi="Times New Roman" w:eastAsia="仿宋_GB2312" w:cs="Times New Roman"/>
          <w:lang w:val="en-US" w:eastAsia="zh-CN"/>
        </w:rPr>
        <w:instrText xml:space="preserve">HYPERLINK "http://www.hzzk.gov.cn/gwhbm/zzgxqgtzyfj/"</w:instrText>
      </w:r>
      <w:r>
        <w:rPr>
          <w:rFonts w:hint="default" w:ascii="Times New Roman" w:hAnsi="Times New Roman" w:eastAsia="仿宋_GB2312" w:cs="Times New Roman"/>
          <w:lang w:val="en-US" w:eastAsia="zh-CN"/>
        </w:rPr>
        <w:fldChar w:fldCharType="separate"/>
      </w:r>
      <w:r>
        <w:rPr>
          <w:rFonts w:hint="default" w:ascii="Times New Roman" w:hAnsi="Times New Roman" w:eastAsia="仿宋_GB2312" w:cs="Times New Roman"/>
          <w:lang w:val="en-US" w:eastAsia="zh-CN"/>
        </w:rPr>
        <w:t>http://www.hzzk.gov.cn/gwhbm/zzgxqgtzyfj/</w:t>
      </w:r>
      <w:r>
        <w:rPr>
          <w:rFonts w:hint="default" w:ascii="Times New Roman" w:hAnsi="Times New Roman" w:eastAsia="仿宋_GB2312" w:cs="Times New Roman"/>
          <w:lang w:val="en-US" w:eastAsia="zh-CN"/>
        </w:rPr>
        <w:fldChar w:fldCharType="end"/>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惠州</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公共资源交易中心</w:t>
      </w:r>
      <w:r>
        <w:rPr>
          <w:rFonts w:hint="default" w:ascii="Times New Roman" w:hAnsi="Times New Roman" w:eastAsia="仿宋_GB2312" w:cs="Times New Roman"/>
          <w:b w:val="0"/>
          <w:bCs w:val="0"/>
          <w:color w:val="auto"/>
          <w:sz w:val="32"/>
          <w:szCs w:val="32"/>
          <w:highlight w:val="none"/>
          <w:lang w:eastAsia="zh-CN"/>
        </w:rPr>
        <w:t>仲恺分中心</w:t>
      </w:r>
      <w:r>
        <w:rPr>
          <w:rFonts w:hint="default" w:ascii="Times New Roman" w:hAnsi="Times New Roman" w:eastAsia="仿宋_GB2312" w:cs="Times New Roman"/>
          <w:b w:val="0"/>
          <w:bCs w:val="0"/>
          <w:color w:val="auto"/>
          <w:sz w:val="32"/>
          <w:szCs w:val="32"/>
          <w:highlight w:val="none"/>
        </w:rPr>
        <w:t>服务大厅电子屏幕。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联系电话：0752-7121029</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kinsoku/>
        <w:wordWrap/>
        <w:overflowPunct/>
        <w:topLinePunct w:val="0"/>
        <w:autoSpaceDE/>
        <w:autoSpaceDN/>
        <w:bidi w:val="0"/>
        <w:spacing w:line="560" w:lineRule="exact"/>
        <w:jc w:val="righ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惠州市仲恺高新区国土资源分局    </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val="0"/>
          <w:color w:val="auto"/>
          <w:sz w:val="32"/>
          <w:szCs w:val="32"/>
          <w:highlight w:val="none"/>
        </w:rPr>
        <w:sectPr>
          <w:footerReference r:id="rId5" w:type="default"/>
          <w:pgSz w:w="11906" w:h="16838"/>
          <w:pgMar w:top="2098" w:right="1417" w:bottom="1984" w:left="1587" w:header="851" w:footer="992" w:gutter="0"/>
          <w:pgNumType w:fmt="decimal"/>
          <w:cols w:space="425" w:num="1"/>
          <w:docGrid w:type="lines" w:linePitch="312" w:charSpace="0"/>
        </w:sectPr>
      </w:pPr>
      <w:r>
        <w:rPr>
          <w:rFonts w:hint="default" w:ascii="Times New Roman" w:hAnsi="Times New Roman" w:eastAsia="仿宋_GB2312" w:cs="Times New Roman"/>
          <w:b w:val="0"/>
          <w:bCs w:val="0"/>
          <w:color w:val="auto"/>
          <w:sz w:val="32"/>
          <w:szCs w:val="32"/>
          <w:highlight w:val="none"/>
          <w:lang w:val="en-US" w:eastAsia="zh-CN"/>
        </w:rPr>
        <w:t xml:space="preserve">                                 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u w:val="none"/>
          <w:lang w:val="en-US" w:eastAsia="zh-CN"/>
        </w:rPr>
        <w:t>1</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10</w:t>
      </w:r>
      <w:r>
        <w:rPr>
          <w:rFonts w:hint="default" w:ascii="Times New Roman" w:hAnsi="Times New Roman" w:eastAsia="仿宋_GB2312" w:cs="Times New Roman"/>
          <w:b w:val="0"/>
          <w:bCs w:val="0"/>
          <w:color w:val="auto"/>
          <w:sz w:val="32"/>
          <w:szCs w:val="32"/>
          <w:highlight w:val="none"/>
          <w:u w:val="none"/>
          <w:lang w:val="en-US" w:eastAsia="zh-CN"/>
        </w:rPr>
        <w:t>日</w:t>
      </w:r>
    </w:p>
    <w:p>
      <w:pPr>
        <w:pStyle w:val="17"/>
        <w:keepNext w:val="0"/>
        <w:keepLines w:val="0"/>
        <w:widowControl w:val="0"/>
        <w:shd w:val="clear" w:color="auto" w:fill="auto"/>
        <w:bidi w:val="0"/>
        <w:spacing w:before="0" w:after="260" w:line="240" w:lineRule="auto"/>
        <w:ind w:left="0" w:leftChars="0" w:right="0" w:firstLine="0" w:firstLineChars="0"/>
        <w:jc w:val="left"/>
        <w:rPr>
          <w:rFonts w:hint="default" w:ascii="Times New Roman" w:hAnsi="Times New Roman" w:eastAsia="黑体" w:cs="Times New Roman"/>
        </w:rPr>
      </w:pPr>
      <w:r>
        <w:rPr>
          <w:rFonts w:hint="default" w:ascii="Times New Roman" w:hAnsi="Times New Roman" w:eastAsia="黑体" w:cs="Times New Roman"/>
          <w:color w:val="000000"/>
          <w:spacing w:val="0"/>
          <w:w w:val="100"/>
          <w:position w:val="0"/>
        </w:rPr>
        <w:t>附表:</w:t>
      </w:r>
    </w:p>
    <w:p>
      <w:pPr>
        <w:pStyle w:val="19"/>
        <w:keepNext w:val="0"/>
        <w:keepLines w:val="0"/>
        <w:widowControl w:val="0"/>
        <w:shd w:val="clear" w:color="auto" w:fill="auto"/>
        <w:bidi w:val="0"/>
        <w:spacing w:before="0" w:after="0" w:line="240" w:lineRule="auto"/>
        <w:ind w:right="0"/>
        <w:jc w:val="center"/>
        <w:rPr>
          <w:rFonts w:hint="default" w:ascii="Times New Roman" w:hAnsi="Times New Roman" w:eastAsia="方正小标宋_GBK" w:cs="Times New Roman"/>
          <w:color w:val="000000"/>
          <w:spacing w:val="0"/>
          <w:w w:val="100"/>
          <w:position w:val="0"/>
          <w:sz w:val="44"/>
          <w:szCs w:val="44"/>
        </w:rPr>
      </w:pPr>
      <w:r>
        <w:rPr>
          <w:rFonts w:hint="default" w:ascii="Times New Roman" w:hAnsi="Times New Roman" w:eastAsia="方正小标宋_GBK" w:cs="Times New Roman"/>
          <w:color w:val="000000"/>
          <w:spacing w:val="0"/>
          <w:w w:val="100"/>
          <w:position w:val="0"/>
          <w:sz w:val="44"/>
          <w:szCs w:val="44"/>
        </w:rPr>
        <w:t>网上挂牌出让地块基本情况及规划建设指标</w:t>
      </w:r>
    </w:p>
    <w:p>
      <w:pPr>
        <w:pStyle w:val="19"/>
        <w:keepNext w:val="0"/>
        <w:keepLines w:val="0"/>
        <w:widowControl w:val="0"/>
        <w:shd w:val="clear" w:color="auto" w:fill="auto"/>
        <w:bidi w:val="0"/>
        <w:spacing w:before="0" w:after="0" w:line="240" w:lineRule="auto"/>
        <w:ind w:right="0"/>
        <w:jc w:val="center"/>
        <w:rPr>
          <w:rFonts w:hint="default" w:ascii="Times New Roman" w:hAnsi="Times New Roman" w:cs="Times New Roman"/>
          <w:color w:val="000000"/>
          <w:spacing w:val="0"/>
          <w:w w:val="100"/>
          <w:position w:val="0"/>
        </w:rPr>
      </w:pPr>
    </w:p>
    <w:tbl>
      <w:tblPr>
        <w:tblStyle w:val="9"/>
        <w:tblW w:w="15612" w:type="dxa"/>
        <w:jc w:val="center"/>
        <w:tblLayout w:type="fixed"/>
        <w:tblCellMar>
          <w:top w:w="0" w:type="dxa"/>
          <w:left w:w="10" w:type="dxa"/>
          <w:bottom w:w="0" w:type="dxa"/>
          <w:right w:w="10" w:type="dxa"/>
        </w:tblCellMar>
      </w:tblPr>
      <w:tblGrid>
        <w:gridCol w:w="595"/>
        <w:gridCol w:w="840"/>
        <w:gridCol w:w="977"/>
        <w:gridCol w:w="516"/>
        <w:gridCol w:w="1116"/>
        <w:gridCol w:w="936"/>
        <w:gridCol w:w="708"/>
        <w:gridCol w:w="852"/>
        <w:gridCol w:w="1740"/>
        <w:gridCol w:w="678"/>
        <w:gridCol w:w="1685"/>
        <w:gridCol w:w="647"/>
        <w:gridCol w:w="698"/>
        <w:gridCol w:w="864"/>
        <w:gridCol w:w="840"/>
        <w:gridCol w:w="1056"/>
        <w:gridCol w:w="864"/>
      </w:tblGrid>
      <w:tr>
        <w:trPr>
          <w:trHeight w:val="432" w:hRule="exact"/>
          <w:jc w:val="center"/>
        </w:trPr>
        <w:tc>
          <w:tcPr>
            <w:tcW w:w="595"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cs="Times New Roman"/>
                <w:sz w:val="22"/>
                <w:szCs w:val="22"/>
              </w:rPr>
            </w:pPr>
            <w:r>
              <w:rPr>
                <w:rFonts w:hint="default" w:ascii="Times New Roman" w:hAnsi="Times New Roman" w:cs="Times New Roman"/>
                <w:color w:val="000000"/>
                <w:spacing w:val="0"/>
                <w:w w:val="100"/>
                <w:position w:val="0"/>
                <w:sz w:val="22"/>
                <w:szCs w:val="22"/>
              </w:rPr>
              <w:t>挂牌地块编号</w:t>
            </w:r>
          </w:p>
        </w:tc>
        <w:tc>
          <w:tcPr>
            <w:tcW w:w="840"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土地位置</w:t>
            </w:r>
          </w:p>
        </w:tc>
        <w:tc>
          <w:tcPr>
            <w:tcW w:w="977"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用地编</w:t>
            </w:r>
            <w:r>
              <w:rPr>
                <w:rFonts w:hint="default" w:ascii="Times New Roman" w:hAnsi="Times New Roman" w:eastAsia="宋体" w:cs="Times New Roman"/>
                <w:color w:val="000000"/>
                <w:spacing w:val="0"/>
                <w:w w:val="100"/>
                <w:position w:val="0"/>
                <w:sz w:val="22"/>
                <w:szCs w:val="22"/>
                <w:lang w:val="en-US" w:eastAsia="zh-CN"/>
              </w:rPr>
              <w:t>号</w:t>
            </w:r>
          </w:p>
        </w:tc>
        <w:tc>
          <w:tcPr>
            <w:tcW w:w="516" w:type="dxa"/>
            <w:vMerge w:val="restart"/>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lang w:val="en-US" w:eastAsia="zh-CN"/>
              </w:rPr>
              <w:t>土</w:t>
            </w:r>
            <w:r>
              <w:rPr>
                <w:rFonts w:hint="default" w:ascii="Times New Roman" w:hAnsi="Times New Roman" w:eastAsia="宋体" w:cs="Times New Roman"/>
                <w:color w:val="000000"/>
                <w:spacing w:val="0"/>
                <w:w w:val="100"/>
                <w:position w:val="0"/>
                <w:sz w:val="22"/>
                <w:szCs w:val="22"/>
              </w:rPr>
              <w:t>地用途</w:t>
            </w:r>
          </w:p>
        </w:tc>
        <w:tc>
          <w:tcPr>
            <w:tcW w:w="8362" w:type="dxa"/>
            <w:gridSpan w:val="8"/>
            <w:tcBorders>
              <w:top w:val="single" w:color="auto" w:sz="4" w:space="0"/>
              <w:left w:val="single" w:color="auto" w:sz="4" w:space="0"/>
            </w:tcBorders>
            <w:shd w:val="clear" w:color="auto" w:fill="auto"/>
            <w:vAlign w:val="bottom"/>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规划指标要求</w:t>
            </w:r>
          </w:p>
        </w:tc>
        <w:tc>
          <w:tcPr>
            <w:tcW w:w="698"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出让</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年限</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年）</w:t>
            </w:r>
          </w:p>
        </w:tc>
        <w:tc>
          <w:tcPr>
            <w:tcW w:w="864"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挂牌</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起始价（万元）</w:t>
            </w:r>
          </w:p>
        </w:tc>
        <w:tc>
          <w:tcPr>
            <w:tcW w:w="840"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加价</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幅度</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（万元）</w:t>
            </w:r>
          </w:p>
        </w:tc>
        <w:tc>
          <w:tcPr>
            <w:tcW w:w="1056" w:type="dxa"/>
            <w:vMerge w:val="restart"/>
            <w:tcBorders>
              <w:top w:val="single" w:color="auto" w:sz="4" w:space="0"/>
              <w:left w:val="single" w:color="auto" w:sz="4" w:space="0"/>
              <w:righ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竞买</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保证金</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（万元）</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tc>
        <w:tc>
          <w:tcPr>
            <w:tcW w:w="864" w:type="dxa"/>
            <w:vMerge w:val="restart"/>
            <w:tcBorders>
              <w:top w:val="single" w:color="auto" w:sz="4" w:space="0"/>
              <w:left w:val="single" w:color="auto" w:sz="4" w:space="0"/>
              <w:righ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保证金截止时间</w:t>
            </w:r>
          </w:p>
        </w:tc>
      </w:tr>
      <w:tr>
        <w:tblPrEx>
          <w:tblCellMar>
            <w:top w:w="0" w:type="dxa"/>
            <w:left w:w="10" w:type="dxa"/>
            <w:bottom w:w="0" w:type="dxa"/>
            <w:right w:w="10" w:type="dxa"/>
          </w:tblCellMar>
        </w:tblPrEx>
        <w:trPr>
          <w:trHeight w:val="1433" w:hRule="exact"/>
          <w:jc w:val="center"/>
        </w:trPr>
        <w:tc>
          <w:tcPr>
            <w:tcW w:w="595"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840"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977"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516" w:type="dxa"/>
            <w:vMerge w:val="continue"/>
            <w:tcBorders>
              <w:left w:val="single" w:color="auto" w:sz="4" w:space="0"/>
            </w:tcBorders>
            <w:shd w:val="clear" w:color="auto" w:fill="auto"/>
            <w:vAlign w:val="center"/>
          </w:tcPr>
          <w:p>
            <w:pPr>
              <w:jc w:val="center"/>
              <w:rPr>
                <w:rFonts w:hint="default" w:ascii="Times New Roman" w:hAnsi="Times New Roman" w:cs="Times New Roman"/>
              </w:rPr>
            </w:pPr>
          </w:p>
        </w:tc>
        <w:tc>
          <w:tcPr>
            <w:tcW w:w="1116"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计算指标用地面积</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936"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宗地使用权面积</w:t>
            </w: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708"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筑</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cs="Times New Roman"/>
                <w:color w:val="000000"/>
                <w:spacing w:val="0"/>
                <w:w w:val="100"/>
                <w:position w:val="0"/>
                <w:sz w:val="22"/>
                <w:szCs w:val="22"/>
                <w:lang w:val="en-US" w:eastAsia="zh-CN"/>
              </w:rPr>
            </w:pPr>
            <w:r>
              <w:rPr>
                <w:rFonts w:hint="default" w:ascii="Times New Roman" w:hAnsi="Times New Roman" w:cs="Times New Roman"/>
                <w:color w:val="000000"/>
                <w:spacing w:val="0"/>
                <w:w w:val="100"/>
                <w:position w:val="0"/>
                <w:sz w:val="22"/>
                <w:szCs w:val="22"/>
                <w:lang w:val="en-US" w:eastAsia="zh-CN"/>
              </w:rPr>
              <w:t>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cs="Times New Roman"/>
                <w:color w:val="000000"/>
                <w:spacing w:val="0"/>
                <w:w w:val="100"/>
                <w:position w:val="0"/>
                <w:sz w:val="22"/>
                <w:szCs w:val="22"/>
                <w:lang w:val="en-US" w:eastAsia="zh-CN"/>
              </w:rPr>
            </w:pPr>
            <w:r>
              <w:rPr>
                <w:rFonts w:hint="default" w:ascii="Times New Roman" w:hAnsi="Times New Roman" w:cs="Times New Roman"/>
                <w:color w:val="000000"/>
                <w:spacing w:val="0"/>
                <w:w w:val="100"/>
                <w:position w:val="0"/>
                <w:sz w:val="22"/>
                <w:szCs w:val="22"/>
                <w:lang w:val="en-US" w:eastAsia="zh-CN"/>
              </w:rPr>
              <w:t>度</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rPr>
            </w:pPr>
            <w:r>
              <w:rPr>
                <w:rFonts w:hint="default" w:ascii="Times New Roman" w:hAnsi="Times New Roman" w:eastAsia="宋体" w:cs="Times New Roman"/>
                <w:color w:val="000000"/>
                <w:spacing w:val="0"/>
                <w:w w:val="100"/>
                <w:position w:val="0"/>
                <w:sz w:val="22"/>
                <w:szCs w:val="22"/>
                <w:lang w:val="en-US" w:eastAsia="zh-CN"/>
              </w:rPr>
              <w:t>（%）</w:t>
            </w:r>
          </w:p>
        </w:tc>
        <w:tc>
          <w:tcPr>
            <w:tcW w:w="852"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容</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积</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率</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R</w:t>
            </w:r>
          </w:p>
        </w:tc>
        <w:tc>
          <w:tcPr>
            <w:tcW w:w="1740"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rPr>
              <w:t>计容积率建筑面积</w:t>
            </w:r>
            <w:r>
              <w:rPr>
                <w:rFonts w:hint="default" w:ascii="Times New Roman" w:hAnsi="Times New Roman" w:eastAsia="宋体" w:cs="Times New Roman"/>
                <w:color w:val="000000"/>
                <w:spacing w:val="0"/>
                <w:w w:val="100"/>
                <w:position w:val="0"/>
                <w:sz w:val="22"/>
                <w:szCs w:val="22"/>
                <w:lang w:val="en-US" w:eastAsia="zh-CN"/>
              </w:rPr>
              <w:t>S</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eastAsia="zh-CN"/>
              </w:rPr>
              <w:t>（</w:t>
            </w:r>
            <w:r>
              <w:rPr>
                <w:rFonts w:hint="default" w:ascii="Times New Roman" w:hAnsi="Times New Roman" w:eastAsia="宋体" w:cs="Times New Roman"/>
                <w:color w:val="000000"/>
                <w:spacing w:val="0"/>
                <w:w w:val="100"/>
                <w:position w:val="0"/>
                <w:sz w:val="22"/>
                <w:szCs w:val="22"/>
                <w:lang w:val="en-US" w:eastAsia="zh-CN"/>
              </w:rPr>
              <w:t>㎡）</w:t>
            </w:r>
          </w:p>
        </w:tc>
        <w:tc>
          <w:tcPr>
            <w:tcW w:w="678" w:type="dxa"/>
            <w:tcBorders>
              <w:top w:val="single" w:color="auto" w:sz="4" w:space="0"/>
              <w:left w:val="single" w:color="auto" w:sz="4" w:space="0"/>
            </w:tcBorders>
            <w:shd w:val="clear" w:color="auto" w:fill="auto"/>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rPr>
              <w:t>绿地率</w:t>
            </w:r>
            <w:r>
              <w:rPr>
                <w:rFonts w:hint="default" w:ascii="Times New Roman" w:hAnsi="Times New Roman" w:eastAsia="宋体" w:cs="Times New Roman"/>
                <w:color w:val="000000"/>
                <w:spacing w:val="0"/>
                <w:w w:val="100"/>
                <w:position w:val="0"/>
                <w:sz w:val="22"/>
                <w:szCs w:val="22"/>
                <w:lang w:val="en-US" w:eastAsia="zh-CN"/>
              </w:rPr>
              <w:t>（%）</w:t>
            </w:r>
          </w:p>
        </w:tc>
        <w:tc>
          <w:tcPr>
            <w:tcW w:w="1685"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zh-TW" w:eastAsia="zh-TW"/>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rPr>
            </w:pPr>
            <w:r>
              <w:rPr>
                <w:rFonts w:hint="default" w:ascii="Times New Roman" w:hAnsi="Times New Roman" w:eastAsia="宋体" w:cs="Times New Roman"/>
                <w:color w:val="000000"/>
                <w:spacing w:val="0"/>
                <w:w w:val="100"/>
                <w:position w:val="0"/>
                <w:sz w:val="22"/>
                <w:szCs w:val="22"/>
                <w:lang w:val="zh-TW" w:eastAsia="zh-TW"/>
              </w:rPr>
              <w:t>机动车停车位配建要求</w:t>
            </w:r>
          </w:p>
        </w:tc>
        <w:tc>
          <w:tcPr>
            <w:tcW w:w="647" w:type="dxa"/>
            <w:tcBorders>
              <w:top w:val="single" w:color="auto" w:sz="4" w:space="0"/>
              <w:left w:val="single" w:color="auto" w:sz="4" w:space="0"/>
            </w:tcBorders>
            <w:shd w:val="clear" w:color="auto" w:fill="auto"/>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Times New Roman"/>
                <w:color w:val="000000"/>
                <w:spacing w:val="0"/>
                <w:w w:val="100"/>
                <w:position w:val="0"/>
                <w:sz w:val="22"/>
                <w:szCs w:val="22"/>
                <w:lang w:val="en-US" w:eastAsia="zh-CN"/>
              </w:rPr>
            </w:pPr>
            <w:r>
              <w:rPr>
                <w:rFonts w:hint="default" w:ascii="Times New Roman" w:hAnsi="Times New Roman" w:eastAsia="宋体" w:cs="Times New Roman"/>
                <w:color w:val="000000"/>
                <w:spacing w:val="0"/>
                <w:w w:val="100"/>
                <w:position w:val="0"/>
                <w:sz w:val="22"/>
                <w:szCs w:val="22"/>
                <w:lang w:val="en-US" w:eastAsia="zh-CN"/>
              </w:rPr>
              <w:t>其他</w:t>
            </w:r>
          </w:p>
        </w:tc>
        <w:tc>
          <w:tcPr>
            <w:tcW w:w="698" w:type="dxa"/>
            <w:vMerge w:val="continue"/>
            <w:tcBorders>
              <w:left w:val="single" w:color="auto" w:sz="4" w:space="0"/>
              <w:right w:val="single" w:color="auto" w:sz="4" w:space="0"/>
            </w:tcBorders>
            <w:shd w:val="clear" w:color="auto" w:fill="auto"/>
            <w:textDirection w:val="tbRlV"/>
            <w:vAlign w:val="top"/>
          </w:tcPr>
          <w:p>
            <w:pPr>
              <w:pStyle w:val="21"/>
              <w:keepNext w:val="0"/>
              <w:keepLines w:val="0"/>
              <w:pageBreakBefore w:val="0"/>
              <w:widowControl w:val="0"/>
              <w:shd w:val="clear" w:color="auto" w:fill="auto"/>
              <w:kinsoku/>
              <w:wordWrap/>
              <w:overflowPunct/>
              <w:topLinePunct w:val="0"/>
              <w:autoSpaceDE/>
              <w:autoSpaceDN/>
              <w:bidi w:val="0"/>
              <w:adjustRightInd/>
              <w:snapToGrid/>
              <w:spacing w:before="340" w:after="0" w:line="240" w:lineRule="auto"/>
              <w:ind w:left="0" w:right="0" w:firstLine="0"/>
              <w:jc w:val="center"/>
              <w:textAlignment w:val="auto"/>
              <w:rPr>
                <w:rFonts w:hint="default" w:ascii="Times New Roman" w:hAnsi="Times New Roman" w:eastAsia="宋体" w:cs="Times New Roman"/>
                <w:lang w:val="en-US" w:eastAsia="zh-CN"/>
              </w:rPr>
            </w:pPr>
          </w:p>
        </w:tc>
        <w:tc>
          <w:tcPr>
            <w:tcW w:w="864"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840"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1056"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c>
          <w:tcPr>
            <w:tcW w:w="864" w:type="dxa"/>
            <w:vMerge w:val="continue"/>
            <w:tcBorders>
              <w:left w:val="single" w:color="auto" w:sz="4" w:space="0"/>
              <w:right w:val="single" w:color="auto" w:sz="4" w:space="0"/>
            </w:tcBorders>
            <w:shd w:val="clear" w:color="auto" w:fill="auto"/>
            <w:textDirection w:val="tbRlV"/>
            <w:vAlign w:val="top"/>
          </w:tcPr>
          <w:p>
            <w:pPr>
              <w:pStyle w:val="21"/>
              <w:keepNext w:val="0"/>
              <w:keepLines w:val="0"/>
              <w:widowControl w:val="0"/>
              <w:shd w:val="clear" w:color="auto" w:fill="auto"/>
              <w:bidi w:val="0"/>
              <w:spacing w:before="340" w:after="0" w:line="240" w:lineRule="auto"/>
              <w:ind w:left="0" w:right="0" w:firstLine="0"/>
              <w:jc w:val="center"/>
              <w:rPr>
                <w:rFonts w:hint="default" w:ascii="Times New Roman" w:hAnsi="Times New Roman" w:cs="Times New Roman"/>
                <w:color w:val="000000"/>
                <w:spacing w:val="0"/>
                <w:w w:val="100"/>
                <w:position w:val="0"/>
              </w:rPr>
            </w:pPr>
          </w:p>
        </w:tc>
      </w:tr>
      <w:tr>
        <w:tblPrEx>
          <w:tblCellMar>
            <w:top w:w="0" w:type="dxa"/>
            <w:left w:w="10" w:type="dxa"/>
            <w:bottom w:w="0" w:type="dxa"/>
            <w:right w:w="10" w:type="dxa"/>
          </w:tblCellMar>
        </w:tblPrEx>
        <w:trPr>
          <w:trHeight w:val="2835" w:hRule="exact"/>
          <w:jc w:val="center"/>
        </w:trPr>
        <w:tc>
          <w:tcPr>
            <w:tcW w:w="595" w:type="dxa"/>
            <w:tcBorders>
              <w:top w:val="single" w:color="auto" w:sz="4" w:space="0"/>
              <w:left w:val="single" w:color="auto" w:sz="4" w:space="0"/>
              <w:bottom w:val="single" w:color="auto" w:sz="4" w:space="0"/>
            </w:tcBorders>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p>
          <w:p>
            <w:pPr>
              <w:widowControl w:val="0"/>
              <w:jc w:val="center"/>
              <w:rPr>
                <w:rFonts w:hint="default" w:ascii="Times New Roman" w:hAnsi="Times New Roman" w:cs="Times New Roman"/>
                <w:sz w:val="10"/>
                <w:szCs w:val="10"/>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惠仲土（用地）挂[2022]</w:t>
            </w:r>
            <w:r>
              <w:rPr>
                <w:rFonts w:hint="eastAsia" w:eastAsia="宋体" w:cs="Times New Roman"/>
                <w:b w:val="0"/>
                <w:bCs w:val="0"/>
                <w:color w:val="auto"/>
                <w:sz w:val="18"/>
                <w:szCs w:val="18"/>
                <w:highlight w:val="none"/>
                <w:vertAlign w:val="baseline"/>
                <w:lang w:val="en-US" w:eastAsia="zh-CN"/>
              </w:rPr>
              <w:t>019</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840"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惠州仲恺高新区尧里片区</w:t>
            </w:r>
          </w:p>
        </w:tc>
        <w:tc>
          <w:tcPr>
            <w:tcW w:w="977" w:type="dxa"/>
            <w:tcBorders>
              <w:top w:val="single" w:color="auto" w:sz="4" w:space="0"/>
              <w:left w:val="single" w:color="auto" w:sz="4" w:space="0"/>
              <w:bottom w:val="single" w:color="auto" w:sz="4" w:space="0"/>
            </w:tcBorders>
            <w:shd w:val="clear" w:color="auto" w:fill="auto"/>
            <w:vAlign w:val="center"/>
          </w:tcPr>
          <w:p>
            <w:pPr>
              <w:widowControl w:val="0"/>
              <w:jc w:val="both"/>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ZKC-049-09</w:t>
            </w:r>
          </w:p>
        </w:tc>
        <w:tc>
          <w:tcPr>
            <w:tcW w:w="516"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住宅及商服用地</w:t>
            </w:r>
          </w:p>
        </w:tc>
        <w:tc>
          <w:tcPr>
            <w:tcW w:w="1116"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41018</w:t>
            </w:r>
          </w:p>
        </w:tc>
        <w:tc>
          <w:tcPr>
            <w:tcW w:w="936"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eastAsia="宋体" w:cs="Times New Roman"/>
                <w:b w:val="0"/>
                <w:bCs w:val="0"/>
                <w:color w:val="auto"/>
                <w:sz w:val="18"/>
                <w:szCs w:val="18"/>
                <w:highlight w:val="none"/>
                <w:vertAlign w:val="baseline"/>
                <w:lang w:val="en-US" w:eastAsia="zh-CN"/>
              </w:rPr>
              <w:t>38063</w:t>
            </w:r>
          </w:p>
        </w:tc>
        <w:tc>
          <w:tcPr>
            <w:tcW w:w="708"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≤22</w:t>
            </w:r>
          </w:p>
        </w:tc>
        <w:tc>
          <w:tcPr>
            <w:tcW w:w="852"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w:t>
            </w:r>
            <w:r>
              <w:rPr>
                <w:rFonts w:hint="eastAsia" w:eastAsia="宋体" w:cs="Times New Roman"/>
                <w:b w:val="0"/>
                <w:bCs w:val="0"/>
                <w:color w:val="auto"/>
                <w:sz w:val="18"/>
                <w:szCs w:val="18"/>
                <w:highlight w:val="none"/>
                <w:vertAlign w:val="baseline"/>
                <w:lang w:val="en-US" w:eastAsia="zh-CN"/>
              </w:rPr>
              <w:t>8</w:t>
            </w:r>
          </w:p>
        </w:tc>
        <w:tc>
          <w:tcPr>
            <w:tcW w:w="1740"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eastAsia" w:eastAsia="宋体" w:cs="Times New Roman"/>
                <w:b w:val="0"/>
                <w:bCs w:val="0"/>
                <w:color w:val="auto"/>
                <w:sz w:val="18"/>
                <w:szCs w:val="18"/>
                <w:highlight w:val="none"/>
                <w:vertAlign w:val="baseline"/>
                <w:lang w:val="en-US" w:eastAsia="zh-CN"/>
              </w:rPr>
              <w:t>114850（</w:t>
            </w:r>
            <w:r>
              <w:rPr>
                <w:rFonts w:hint="default" w:ascii="Times New Roman" w:hAnsi="Times New Roman" w:eastAsia="宋体" w:cs="Times New Roman"/>
                <w:b w:val="0"/>
                <w:bCs w:val="0"/>
                <w:color w:val="auto"/>
                <w:sz w:val="18"/>
                <w:szCs w:val="18"/>
                <w:highlight w:val="none"/>
                <w:vertAlign w:val="baseline"/>
                <w:lang w:val="en-US" w:eastAsia="zh-CN"/>
              </w:rPr>
              <w:t>兼容的商业建筑面积≤10%</w:t>
            </w:r>
            <w:r>
              <w:rPr>
                <w:rFonts w:hint="eastAsia" w:eastAsia="宋体" w:cs="Times New Roman"/>
                <w:b w:val="0"/>
                <w:bCs w:val="0"/>
                <w:color w:val="auto"/>
                <w:sz w:val="18"/>
                <w:szCs w:val="18"/>
                <w:highlight w:val="none"/>
                <w:vertAlign w:val="baseline"/>
                <w:lang w:val="en-US" w:eastAsia="zh-CN"/>
              </w:rPr>
              <w:t>）</w:t>
            </w:r>
          </w:p>
        </w:tc>
        <w:tc>
          <w:tcPr>
            <w:tcW w:w="678"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≥35</w:t>
            </w:r>
          </w:p>
        </w:tc>
        <w:tc>
          <w:tcPr>
            <w:tcW w:w="1685"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每100平方米计容积率建筑面积≥1.0个。配建停车位应按要求建设充电基础设施或预留建设安装条件</w:t>
            </w:r>
          </w:p>
        </w:tc>
        <w:tc>
          <w:tcPr>
            <w:tcW w:w="647" w:type="dxa"/>
            <w:tcBorders>
              <w:top w:val="single" w:color="auto" w:sz="4" w:space="0"/>
              <w:left w:val="single" w:color="auto" w:sz="4" w:space="0"/>
              <w:bottom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住宅</w:t>
            </w: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70年</w:t>
            </w: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商服</w:t>
            </w:r>
          </w:p>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40年</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44114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eastAsia="宋体" w:cs="Times New Roman"/>
                <w:b w:val="0"/>
                <w:bCs w:val="0"/>
                <w:color w:val="auto"/>
                <w:sz w:val="18"/>
                <w:szCs w:val="18"/>
                <w:highlight w:val="none"/>
                <w:vertAlign w:val="baseline"/>
                <w:lang w:val="en-US" w:eastAsia="zh-CN"/>
              </w:rPr>
              <w:t>600</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13235</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202</w:t>
            </w:r>
            <w:r>
              <w:rPr>
                <w:rFonts w:hint="eastAsia" w:eastAsia="宋体"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年1月</w:t>
            </w:r>
            <w:r>
              <w:rPr>
                <w:rFonts w:hint="eastAsia" w:eastAsia="宋体" w:cs="Times New Roman"/>
                <w:b w:val="0"/>
                <w:bCs w:val="0"/>
                <w:color w:val="auto"/>
                <w:sz w:val="18"/>
                <w:szCs w:val="18"/>
                <w:highlight w:val="none"/>
                <w:vertAlign w:val="baseline"/>
                <w:lang w:val="en-US" w:eastAsia="zh-CN"/>
              </w:rPr>
              <w:t>17</w:t>
            </w:r>
            <w:r>
              <w:rPr>
                <w:rFonts w:hint="default" w:ascii="Times New Roman" w:hAnsi="Times New Roman" w:eastAsia="宋体" w:cs="Times New Roman"/>
                <w:b w:val="0"/>
                <w:bCs w:val="0"/>
                <w:color w:val="auto"/>
                <w:sz w:val="18"/>
                <w:szCs w:val="18"/>
                <w:highlight w:val="none"/>
                <w:vertAlign w:val="baseline"/>
                <w:lang w:val="en-US" w:eastAsia="zh-CN"/>
              </w:rPr>
              <w:t>日9时</w:t>
            </w:r>
          </w:p>
        </w:tc>
      </w:tr>
    </w:tbl>
    <w:p>
      <w:pPr>
        <w:pStyle w:val="2"/>
        <w:ind w:left="0" w:leftChars="0" w:firstLine="0" w:firstLineChars="0"/>
      </w:pPr>
    </w:p>
    <w:sectPr>
      <w:pgSz w:w="16838" w:h="11906" w:orient="landscape"/>
      <w:pgMar w:top="1587" w:right="2098" w:bottom="1417" w:left="198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5B5254B6"/>
    <w:rsid w:val="024F76EA"/>
    <w:rsid w:val="04477832"/>
    <w:rsid w:val="0ACC373A"/>
    <w:rsid w:val="10833210"/>
    <w:rsid w:val="13BA67B2"/>
    <w:rsid w:val="16B62263"/>
    <w:rsid w:val="1E8158DA"/>
    <w:rsid w:val="2C0D301E"/>
    <w:rsid w:val="33AC2A7D"/>
    <w:rsid w:val="354F3B80"/>
    <w:rsid w:val="3596253F"/>
    <w:rsid w:val="47C24782"/>
    <w:rsid w:val="58F068CF"/>
    <w:rsid w:val="5A2131B9"/>
    <w:rsid w:val="5B5254B6"/>
    <w:rsid w:val="64261DB0"/>
    <w:rsid w:val="64D1610B"/>
    <w:rsid w:val="6D5B7213"/>
    <w:rsid w:val="6FDD060B"/>
    <w:rsid w:val="70542BE8"/>
    <w:rsid w:val="7739067D"/>
    <w:rsid w:val="7B054D52"/>
    <w:rsid w:val="7FAE7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5">
    <w:name w:val="Normal Indent"/>
    <w:basedOn w:val="1"/>
    <w:next w:val="1"/>
    <w:unhideWhenUsed/>
    <w:qFormat/>
    <w:uiPriority w:val="0"/>
    <w:pPr>
      <w:ind w:firstLine="420" w:firstLineChars="200"/>
    </w:pPr>
  </w:style>
  <w:style w:type="paragraph" w:styleId="6">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jc w:val="left"/>
    </w:pPr>
    <w:rPr>
      <w:kern w:val="0"/>
      <w:sz w:val="24"/>
    </w:rPr>
  </w:style>
  <w:style w:type="character" w:styleId="11">
    <w:name w:val="Hyperlink"/>
    <w:basedOn w:val="10"/>
    <w:semiHidden/>
    <w:unhideWhenUsed/>
    <w:qFormat/>
    <w:uiPriority w:val="99"/>
    <w:rPr>
      <w:color w:val="337AB7"/>
      <w:u w:val="none"/>
    </w:rPr>
  </w:style>
  <w:style w:type="paragraph" w:customStyle="1" w:styleId="12">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14">
    <w:name w:val="我的正文"/>
    <w:basedOn w:val="15"/>
    <w:qFormat/>
    <w:uiPriority w:val="0"/>
    <w:pPr>
      <w:spacing w:line="560" w:lineRule="exact"/>
      <w:ind w:firstLine="200" w:firstLineChars="200"/>
    </w:pPr>
    <w:rPr>
      <w:rFonts w:eastAsia="仿宋_GB2312"/>
      <w:sz w:val="32"/>
      <w:szCs w:val="32"/>
    </w:rPr>
  </w:style>
  <w:style w:type="paragraph" w:customStyle="1" w:styleId="15">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6">
    <w:name w:val="p0"/>
    <w:basedOn w:val="1"/>
    <w:qFormat/>
    <w:uiPriority w:val="0"/>
    <w:pPr>
      <w:widowControl/>
    </w:pPr>
    <w:rPr>
      <w:kern w:val="0"/>
      <w:szCs w:val="21"/>
    </w:rPr>
  </w:style>
  <w:style w:type="paragraph" w:customStyle="1" w:styleId="1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20">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Other|2"/>
    <w:basedOn w:val="1"/>
    <w:qFormat/>
    <w:uiPriority w:val="0"/>
    <w:pPr>
      <w:widowControl w:val="0"/>
      <w:shd w:val="clear" w:color="auto" w:fill="auto"/>
      <w:spacing w:before="160" w:line="230" w:lineRule="exact"/>
      <w:jc w:val="center"/>
    </w:pPr>
    <w:rPr>
      <w:rFonts w:ascii="宋体" w:hAnsi="宋体" w:eastAsia="宋体" w:cs="宋体"/>
      <w:sz w:val="22"/>
      <w:szCs w:val="22"/>
      <w:u w:val="none"/>
      <w:shd w:val="clear" w:color="auto" w:fill="auto"/>
      <w:lang w:val="zh-TW" w:eastAsia="zh-TW" w:bidi="zh-TW"/>
    </w:rPr>
  </w:style>
  <w:style w:type="paragraph" w:customStyle="1" w:styleId="22">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9</Pages>
  <Words>3319</Words>
  <Characters>3649</Characters>
  <Lines>0</Lines>
  <Paragraphs>0</Paragraphs>
  <TotalTime>1</TotalTime>
  <ScaleCrop>false</ScaleCrop>
  <LinksUpToDate>false</LinksUpToDate>
  <CharactersWithSpaces>3709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2022-11-14T02:27:00Z</dcterms:created>
  <dc:creator>杨立</dc:creator>
  <cp:lastModifiedBy>Administrator</cp:lastModifiedBy>
  <cp:lastPrinted>2022-11-14T03:26:00Z</cp:lastPrinted>
  <dcterms:modified xsi:type="dcterms:W3CDTF">2023-01-09T07:57:42Z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E789B745E00448DCAFCD8EFD26162B4F</vt:lpwstr>
  </property>
</Properties>
</file>